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65B08" w14:textId="77777777" w:rsidR="009E5FA8" w:rsidRPr="00765384" w:rsidRDefault="009E5FA8" w:rsidP="009E5FA8">
      <w:pPr>
        <w:pStyle w:val="4Titledescription"/>
        <w:rPr>
          <w:lang w:val="en-AU"/>
        </w:rPr>
      </w:pPr>
      <w:r w:rsidRPr="00765384">
        <w:rPr>
          <w:noProof/>
          <w:lang w:val="en-AU" w:eastAsia="zh-CN" w:bidi="hi-IN"/>
        </w:rPr>
        <w:drawing>
          <wp:inline distT="0" distB="0" distL="0" distR="0" wp14:anchorId="066B4743" wp14:editId="5C9993AE">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3ABF22A4" w14:textId="77777777" w:rsidR="009E5FA8" w:rsidRPr="00765384" w:rsidRDefault="009E5FA8" w:rsidP="009E5FA8">
      <w:pPr>
        <w:pStyle w:val="1Documentnameh1"/>
      </w:pPr>
      <w:r w:rsidRPr="00765384">
        <w:t>Practice Alert</w:t>
      </w:r>
    </w:p>
    <w:p w14:paraId="51A0B429" w14:textId="77777777" w:rsidR="009E5FA8" w:rsidRPr="00765384" w:rsidRDefault="009E5FA8" w:rsidP="009E5FA8">
      <w:pPr>
        <w:pStyle w:val="3Titleh3"/>
        <w:rPr>
          <w:lang w:val="en-AU"/>
        </w:rPr>
      </w:pPr>
      <w:r w:rsidRPr="00765384">
        <w:rPr>
          <w:lang w:val="en-AU"/>
        </w:rPr>
        <w:t xml:space="preserve">Dysphagia, safe swallowing, and mealtime management  </w:t>
      </w:r>
    </w:p>
    <w:p w14:paraId="1D2C66C8" w14:textId="6698FEC3" w:rsidR="009E5FA8" w:rsidRPr="00765384" w:rsidRDefault="0030095B" w:rsidP="009E5FA8">
      <w:pPr>
        <w:pStyle w:val="4Titledescription"/>
        <w:rPr>
          <w:lang w:val="en-AU"/>
        </w:rPr>
      </w:pPr>
      <w:r>
        <w:rPr>
          <w:lang w:val="en-AU"/>
        </w:rPr>
        <w:t>November</w:t>
      </w:r>
      <w:r w:rsidR="009E5FA8" w:rsidRPr="00765384">
        <w:rPr>
          <w:lang w:val="en-AU"/>
        </w:rPr>
        <w:t xml:space="preserve"> 2020</w:t>
      </w:r>
    </w:p>
    <w:p w14:paraId="4B6FD0FC" w14:textId="77777777" w:rsidR="009E5FA8" w:rsidRPr="00765384" w:rsidRDefault="009E5FA8" w:rsidP="009359E9">
      <w:pPr>
        <w:pStyle w:val="5AboutHeadingh4"/>
        <w:spacing w:before="240" w:after="240"/>
        <w:ind w:right="-34"/>
        <w:rPr>
          <w:lang w:val="en-AU"/>
        </w:rPr>
      </w:pPr>
      <w:r w:rsidRPr="00765384">
        <w:rPr>
          <w:lang w:val="en-AU"/>
        </w:rPr>
        <w:t>Key points</w:t>
      </w:r>
    </w:p>
    <w:p w14:paraId="1BB13495" w14:textId="77777777" w:rsidR="009E5FA8" w:rsidRPr="00765384" w:rsidRDefault="009E5FA8" w:rsidP="009359E9">
      <w:pPr>
        <w:pStyle w:val="6Aboutbullet"/>
        <w:spacing w:before="240"/>
        <w:ind w:right="-34"/>
        <w:rPr>
          <w:lang w:val="en-AU"/>
        </w:rPr>
      </w:pPr>
      <w:r w:rsidRPr="00765384">
        <w:rPr>
          <w:lang w:val="en-AU"/>
        </w:rPr>
        <w:t xml:space="preserve">‘Dysphagia’ is difficulty with swallowing. </w:t>
      </w:r>
    </w:p>
    <w:p w14:paraId="783AF438" w14:textId="77777777" w:rsidR="009E5FA8" w:rsidRPr="00765384" w:rsidRDefault="009E5FA8" w:rsidP="009359E9">
      <w:pPr>
        <w:pStyle w:val="6Aboutbullet"/>
        <w:spacing w:before="240"/>
        <w:ind w:right="-34"/>
        <w:rPr>
          <w:lang w:val="en-AU"/>
        </w:rPr>
      </w:pPr>
      <w:r w:rsidRPr="00765384">
        <w:rPr>
          <w:lang w:val="en-AU"/>
        </w:rPr>
        <w:t>NDIS providers have obligations to provide competent and safe supports to participants with dysphagia and manage the associated risks</w:t>
      </w:r>
    </w:p>
    <w:p w14:paraId="08B7FC1D" w14:textId="25C75510" w:rsidR="009E5FA8" w:rsidRPr="00765384" w:rsidRDefault="009E5FA8" w:rsidP="009359E9">
      <w:pPr>
        <w:pStyle w:val="6Aboutbullet"/>
        <w:spacing w:before="240"/>
        <w:ind w:right="-34"/>
        <w:rPr>
          <w:lang w:val="en-AU"/>
        </w:rPr>
      </w:pPr>
      <w:r w:rsidRPr="00765384">
        <w:rPr>
          <w:lang w:val="en-AU"/>
        </w:rPr>
        <w:t xml:space="preserve">Symptoms </w:t>
      </w:r>
      <w:proofErr w:type="gramStart"/>
      <w:r w:rsidRPr="00765384">
        <w:rPr>
          <w:lang w:val="en-AU"/>
        </w:rPr>
        <w:t>include</w:t>
      </w:r>
      <w:r w:rsidR="009359E9" w:rsidRPr="00765384">
        <w:rPr>
          <w:lang w:val="en-AU"/>
        </w:rPr>
        <w:t>:</w:t>
      </w:r>
      <w:proofErr w:type="gramEnd"/>
      <w:r w:rsidRPr="00765384">
        <w:rPr>
          <w:lang w:val="en-AU"/>
        </w:rPr>
        <w:t xml:space="preserve"> difficulty biting or chewing on food, coughing or choking on food or fluid, and food or drink falling from a person’s mouth.</w:t>
      </w:r>
    </w:p>
    <w:p w14:paraId="70E0F9DC" w14:textId="77777777" w:rsidR="009359E9" w:rsidRPr="00765384" w:rsidRDefault="009359E9" w:rsidP="009359E9">
      <w:pPr>
        <w:pStyle w:val="6Aboutbullet"/>
        <w:spacing w:before="240"/>
        <w:ind w:right="-34"/>
        <w:rPr>
          <w:lang w:val="en-AU"/>
        </w:rPr>
      </w:pPr>
      <w:r w:rsidRPr="00765384">
        <w:rPr>
          <w:lang w:val="en-AU"/>
        </w:rPr>
        <w:t>Dysphagia symptoms can worsen as people get older.</w:t>
      </w:r>
    </w:p>
    <w:p w14:paraId="154F8A14" w14:textId="77777777" w:rsidR="009E5FA8" w:rsidRPr="00765384" w:rsidRDefault="009E5FA8" w:rsidP="009359E9">
      <w:pPr>
        <w:pStyle w:val="6Aboutbullet"/>
        <w:spacing w:before="240"/>
        <w:ind w:right="-34"/>
        <w:rPr>
          <w:lang w:val="en-AU"/>
        </w:rPr>
      </w:pPr>
      <w:r w:rsidRPr="00765384">
        <w:rPr>
          <w:lang w:val="en-AU"/>
        </w:rPr>
        <w:t>Dysphagia is associated with a wide range of disabilities and health conditions.</w:t>
      </w:r>
    </w:p>
    <w:p w14:paraId="2EA12E91" w14:textId="77777777" w:rsidR="009E5FA8" w:rsidRPr="00765384" w:rsidRDefault="009E5FA8" w:rsidP="009359E9">
      <w:pPr>
        <w:pStyle w:val="6Aboutbullet"/>
        <w:spacing w:before="240"/>
        <w:ind w:right="-34"/>
        <w:rPr>
          <w:lang w:val="en-AU"/>
        </w:rPr>
      </w:pPr>
      <w:r w:rsidRPr="00765384">
        <w:rPr>
          <w:lang w:val="en-AU"/>
        </w:rPr>
        <w:t>People with disability who have dysphagia are more likely to die from choking or respiratory illnesses or have serious health complications because of poor management of dysphagia.</w:t>
      </w:r>
    </w:p>
    <w:p w14:paraId="788445F1" w14:textId="77777777" w:rsidR="009E5FA8" w:rsidRPr="00765384" w:rsidRDefault="009E5FA8" w:rsidP="009359E9">
      <w:pPr>
        <w:pStyle w:val="6Aboutbullet"/>
        <w:spacing w:before="240"/>
        <w:ind w:right="-34"/>
        <w:rPr>
          <w:lang w:val="en-AU"/>
        </w:rPr>
      </w:pPr>
      <w:r w:rsidRPr="00765384">
        <w:rPr>
          <w:lang w:val="en-AU"/>
        </w:rPr>
        <w:t xml:space="preserve">Training and knowledge about identifying and managing swallowing problems can minimise risks of serious health complications and improve a person’s mealtime-related quality of life. </w:t>
      </w:r>
    </w:p>
    <w:p w14:paraId="057C2385" w14:textId="77777777" w:rsidR="009E5FA8" w:rsidRPr="00765384" w:rsidRDefault="009E5FA8" w:rsidP="009359E9">
      <w:pPr>
        <w:pStyle w:val="6Aboutbullet"/>
        <w:spacing w:before="240"/>
        <w:ind w:right="-34"/>
        <w:rPr>
          <w:lang w:val="en-AU"/>
        </w:rPr>
      </w:pPr>
      <w:r w:rsidRPr="00765384">
        <w:rPr>
          <w:lang w:val="en-AU"/>
        </w:rPr>
        <w:t xml:space="preserve">A proper assessment of a person’s swallowing and nutritional needs can reduce the negative impacts of dysphagia and improve a person’s safety and quality of life. </w:t>
      </w:r>
    </w:p>
    <w:p w14:paraId="49C97A0A" w14:textId="77777777" w:rsidR="009359E9" w:rsidRPr="00765384" w:rsidRDefault="009359E9">
      <w:pPr>
        <w:spacing w:before="120" w:after="120"/>
        <w:rPr>
          <w:rFonts w:asciiTheme="majorHAnsi" w:eastAsiaTheme="majorEastAsia" w:hAnsiTheme="majorHAnsi" w:cstheme="majorBidi"/>
          <w:b/>
          <w:color w:val="612C69"/>
          <w:sz w:val="40"/>
          <w:szCs w:val="40"/>
        </w:rPr>
      </w:pPr>
      <w:r w:rsidRPr="00765384">
        <w:br w:type="page"/>
      </w:r>
    </w:p>
    <w:p w14:paraId="592CA9E0" w14:textId="78A0BEED" w:rsidR="00AD7AD7" w:rsidRPr="00765384" w:rsidRDefault="00AD7AD7" w:rsidP="009359E9">
      <w:pPr>
        <w:pStyle w:val="Heading1"/>
      </w:pPr>
      <w:r w:rsidRPr="00765384">
        <w:lastRenderedPageBreak/>
        <w:t>What is dysphagia?</w:t>
      </w:r>
    </w:p>
    <w:p w14:paraId="217DEB6B" w14:textId="37E1BEA0" w:rsidR="00AD7AD7" w:rsidRPr="00765384" w:rsidRDefault="00AD7AD7" w:rsidP="00AD7AD7">
      <w:pPr>
        <w:autoSpaceDE w:val="0"/>
        <w:autoSpaceDN w:val="0"/>
        <w:spacing w:before="120" w:after="120" w:line="276" w:lineRule="auto"/>
      </w:pPr>
      <w:r w:rsidRPr="00765384">
        <w:t>Dysphagia is a medical term for any difficulty with swallowing.</w:t>
      </w:r>
    </w:p>
    <w:p w14:paraId="76BD27B5" w14:textId="77777777" w:rsidR="00AD7AD7" w:rsidRPr="00765384" w:rsidRDefault="00AD7AD7" w:rsidP="009359E9">
      <w:pPr>
        <w:spacing w:before="120" w:line="276" w:lineRule="auto"/>
        <w:contextualSpacing/>
        <w:jc w:val="both"/>
      </w:pPr>
      <w:r w:rsidRPr="00765384">
        <w:t xml:space="preserve">A person may have dysphagia if they show signs and symptoms such as: </w:t>
      </w:r>
    </w:p>
    <w:p w14:paraId="51A941AA" w14:textId="77777777" w:rsidR="00AD7AD7" w:rsidRPr="00765384" w:rsidRDefault="00AD7AD7" w:rsidP="00C31EAE">
      <w:pPr>
        <w:pStyle w:val="ListParagraph"/>
        <w:numPr>
          <w:ilvl w:val="0"/>
          <w:numId w:val="23"/>
        </w:numPr>
        <w:spacing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difficult, painful chewing or swallowing</w:t>
      </w:r>
    </w:p>
    <w:p w14:paraId="6548FAC9"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t>a feeling that food or drink gets stuck in their throat or goes down the wrong way</w:t>
      </w:r>
    </w:p>
    <w:p w14:paraId="3BC9DDAB"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t>coughing, choking, or frequent throat clearing during or after swallowing</w:t>
      </w:r>
    </w:p>
    <w:p w14:paraId="4A49AB22" w14:textId="77777777" w:rsidR="00AD7AD7" w:rsidRPr="00765384" w:rsidRDefault="00AD7AD7" w:rsidP="00C31EAE">
      <w:pPr>
        <w:pStyle w:val="ListParagraph"/>
        <w:numPr>
          <w:ilvl w:val="0"/>
          <w:numId w:val="23"/>
        </w:numPr>
        <w:spacing w:before="120" w:after="120" w:line="276" w:lineRule="auto"/>
        <w:jc w:val="both"/>
      </w:pPr>
      <w:r w:rsidRPr="00765384">
        <w:t>having long mealtimes e.g. finishing a meal takes more than 30 minutes</w:t>
      </w:r>
    </w:p>
    <w:p w14:paraId="0737122B"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t>becoming short of breath when eating and drinking</w:t>
      </w:r>
    </w:p>
    <w:p w14:paraId="66C0B4CA"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t>avoiding some foods because they are hard to swallow</w:t>
      </w:r>
    </w:p>
    <w:p w14:paraId="09E499EE"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regurgitation of undigested food</w:t>
      </w:r>
    </w:p>
    <w:p w14:paraId="21F1EC32"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difficulty controlling food or liquid in their mouth</w:t>
      </w:r>
    </w:p>
    <w:p w14:paraId="58FEFE7F"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drooling</w:t>
      </w:r>
    </w:p>
    <w:p w14:paraId="49764127" w14:textId="4BDBFC01"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 xml:space="preserve">having a hoarse or </w:t>
      </w:r>
      <w:proofErr w:type="spellStart"/>
      <w:r w:rsidR="00C710F9" w:rsidRPr="00765384">
        <w:rPr>
          <w:rFonts w:asciiTheme="minorHAnsi" w:eastAsiaTheme="minorEastAsia" w:hAnsiTheme="minorHAnsi" w:cstheme="minorBidi"/>
        </w:rPr>
        <w:t>gurgly</w:t>
      </w:r>
      <w:proofErr w:type="spellEnd"/>
      <w:r w:rsidR="00C710F9" w:rsidRPr="00765384">
        <w:rPr>
          <w:rFonts w:asciiTheme="minorHAnsi" w:eastAsiaTheme="minorEastAsia" w:hAnsiTheme="minorHAnsi" w:cstheme="minorBidi"/>
        </w:rPr>
        <w:t xml:space="preserve"> </w:t>
      </w:r>
      <w:r w:rsidRPr="00765384">
        <w:rPr>
          <w:rFonts w:asciiTheme="minorHAnsi" w:eastAsiaTheme="minorEastAsia" w:hAnsiTheme="minorHAnsi" w:cstheme="minorBidi"/>
        </w:rPr>
        <w:t>voice</w:t>
      </w:r>
    </w:p>
    <w:p w14:paraId="58AE480A"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having a dry mouth</w:t>
      </w:r>
    </w:p>
    <w:p w14:paraId="310E7D6D" w14:textId="77777777"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rPr>
          <w:rFonts w:asciiTheme="minorHAnsi" w:eastAsiaTheme="minorEastAsia" w:hAnsiTheme="minorHAnsi" w:cstheme="minorBidi"/>
        </w:rPr>
        <w:t>poor oral hygiene</w:t>
      </w:r>
    </w:p>
    <w:p w14:paraId="13EE979E" w14:textId="77777777" w:rsidR="00AD7AD7" w:rsidRPr="00765384" w:rsidRDefault="00AD7AD7" w:rsidP="00C31EAE">
      <w:pPr>
        <w:pStyle w:val="ListParagraph"/>
        <w:numPr>
          <w:ilvl w:val="0"/>
          <w:numId w:val="23"/>
        </w:numPr>
        <w:spacing w:before="120" w:after="120" w:line="276" w:lineRule="auto"/>
        <w:jc w:val="both"/>
      </w:pPr>
      <w:r w:rsidRPr="00765384">
        <w:t>frequent heartburn</w:t>
      </w:r>
    </w:p>
    <w:p w14:paraId="433B33C8" w14:textId="77777777" w:rsidR="00AD7AD7" w:rsidRPr="00765384" w:rsidRDefault="00AD7AD7" w:rsidP="00C31EAE">
      <w:pPr>
        <w:pStyle w:val="ListParagraph"/>
        <w:numPr>
          <w:ilvl w:val="0"/>
          <w:numId w:val="23"/>
        </w:numPr>
        <w:spacing w:before="120" w:after="120" w:line="276" w:lineRule="auto"/>
        <w:jc w:val="both"/>
      </w:pPr>
      <w:r w:rsidRPr="00765384">
        <w:t>unexpected weight loss</w:t>
      </w:r>
    </w:p>
    <w:p w14:paraId="513E6003" w14:textId="55C0A04B" w:rsidR="00AD7AD7" w:rsidRPr="00765384" w:rsidRDefault="00AD7AD7" w:rsidP="00C31EAE">
      <w:pPr>
        <w:pStyle w:val="ListParagraph"/>
        <w:numPr>
          <w:ilvl w:val="0"/>
          <w:numId w:val="23"/>
        </w:numPr>
        <w:spacing w:before="120" w:after="120" w:line="276" w:lineRule="auto"/>
        <w:jc w:val="both"/>
        <w:rPr>
          <w:rFonts w:asciiTheme="minorHAnsi" w:eastAsiaTheme="minorEastAsia" w:hAnsiTheme="minorHAnsi" w:cstheme="minorBidi"/>
        </w:rPr>
      </w:pPr>
      <w:r w:rsidRPr="00765384">
        <w:t>f</w:t>
      </w:r>
      <w:r w:rsidR="003E70D2" w:rsidRPr="00765384">
        <w:t>requent respiratory infections</w:t>
      </w:r>
      <w:r w:rsidRPr="00765384">
        <w:t>.</w:t>
      </w:r>
    </w:p>
    <w:p w14:paraId="628A9113" w14:textId="087941AB" w:rsidR="00AD7AD7" w:rsidRPr="00765384" w:rsidRDefault="00AD7AD7" w:rsidP="00AD7AD7">
      <w:pPr>
        <w:autoSpaceDE w:val="0"/>
        <w:autoSpaceDN w:val="0"/>
        <w:spacing w:before="120" w:after="120" w:line="276" w:lineRule="auto"/>
        <w:rPr>
          <w:color w:val="111111"/>
        </w:rPr>
      </w:pPr>
      <w:r w:rsidRPr="00765384">
        <w:rPr>
          <w:color w:val="111111"/>
        </w:rPr>
        <w:t>A range of disabilities and medical conditions are associated with dysphagia, such as congenital syndromes, neuromuscular dysfunctions such as cerebral palsy, neurological disorders such as stroke, ca</w:t>
      </w:r>
      <w:r w:rsidR="003E70D2" w:rsidRPr="00765384">
        <w:rPr>
          <w:color w:val="111111"/>
        </w:rPr>
        <w:t>ncer, and chronic lung disease.</w:t>
      </w:r>
      <w:r w:rsidRPr="00765384">
        <w:rPr>
          <w:color w:val="111111"/>
        </w:rPr>
        <w:t xml:space="preserve"> </w:t>
      </w:r>
    </w:p>
    <w:p w14:paraId="78EC74B8" w14:textId="628CCA6A" w:rsidR="00AD7AD7" w:rsidRPr="00765384" w:rsidRDefault="00AD7AD7" w:rsidP="00AD7AD7">
      <w:pPr>
        <w:autoSpaceDE w:val="0"/>
        <w:autoSpaceDN w:val="0"/>
        <w:spacing w:before="120" w:after="120" w:line="276" w:lineRule="auto"/>
      </w:pPr>
      <w:r w:rsidRPr="00765384">
        <w:rPr>
          <w:rFonts w:eastAsia="Calibri"/>
        </w:rPr>
        <w:t>Many people with disability are also prescribed medications on a long-term basis, which can incre</w:t>
      </w:r>
      <w:r w:rsidR="003E70D2" w:rsidRPr="00765384">
        <w:rPr>
          <w:rFonts w:eastAsia="Calibri"/>
        </w:rPr>
        <w:t>ase risk of swallowing problems.</w:t>
      </w:r>
    </w:p>
    <w:p w14:paraId="2246A97C" w14:textId="77777777" w:rsidR="00AD7AD7" w:rsidRPr="00765384" w:rsidRDefault="00AD7AD7" w:rsidP="00AD7AD7">
      <w:pPr>
        <w:pStyle w:val="Heading2"/>
      </w:pPr>
      <w:r w:rsidRPr="00765384">
        <w:t>Risks associated with dysphagia</w:t>
      </w:r>
    </w:p>
    <w:p w14:paraId="0BE0D098" w14:textId="3DB393EC" w:rsidR="00AD7AD7" w:rsidRPr="00765384" w:rsidRDefault="00AD7AD7" w:rsidP="00AD7AD7">
      <w:pPr>
        <w:spacing w:before="120" w:after="120" w:line="276" w:lineRule="auto"/>
      </w:pPr>
      <w:r w:rsidRPr="00765384">
        <w:rPr>
          <w:rFonts w:eastAsia="Calibri"/>
        </w:rPr>
        <w:t>Because of the high rates of dysphagia in people with disability, they have an increased risk of respiratory problems or choking</w:t>
      </w:r>
      <w:r w:rsidR="00D27D66" w:rsidRPr="00765384">
        <w:rPr>
          <w:rFonts w:eastAsia="Calibri"/>
        </w:rPr>
        <w:t xml:space="preserve"> as well as poor nutrition</w:t>
      </w:r>
      <w:r w:rsidRPr="00765384">
        <w:rPr>
          <w:rFonts w:eastAsia="Calibri"/>
        </w:rPr>
        <w:t xml:space="preserve">. </w:t>
      </w:r>
      <w:r w:rsidRPr="00765384">
        <w:t>Swallowing problems can allow food, drinks or saliva to get into lungs rather than the stomach, which can cause aspiration pn</w:t>
      </w:r>
      <w:r w:rsidR="003E70D2" w:rsidRPr="00765384">
        <w:t>eumonia</w:t>
      </w:r>
      <w:r w:rsidRPr="00765384">
        <w:t>.</w:t>
      </w:r>
      <w:r w:rsidR="003E70D2" w:rsidRPr="00765384">
        <w:t xml:space="preserve"> </w:t>
      </w:r>
      <w:r w:rsidRPr="00765384">
        <w:t>Studies have found that aspiration pneumonia and choking were among the most common respiratory causes of death for people with disability in NSW, QLD an</w:t>
      </w:r>
      <w:r w:rsidR="003E70D2" w:rsidRPr="00765384">
        <w:t>d VIC</w:t>
      </w:r>
      <w:r w:rsidRPr="00765384">
        <w:t xml:space="preserve">. </w:t>
      </w:r>
    </w:p>
    <w:p w14:paraId="4AAF02D4" w14:textId="0FD5E16B" w:rsidR="00AD7AD7" w:rsidRPr="00765384" w:rsidRDefault="00AD7AD7" w:rsidP="00AD7AD7">
      <w:pPr>
        <w:spacing w:before="120" w:after="120" w:line="276" w:lineRule="auto"/>
      </w:pPr>
      <w:r w:rsidRPr="00765384">
        <w:rPr>
          <w:color w:val="111111"/>
        </w:rPr>
        <w:t xml:space="preserve">The risk of accidental choking </w:t>
      </w:r>
      <w:r w:rsidR="00D27D66" w:rsidRPr="00765384">
        <w:rPr>
          <w:color w:val="111111"/>
        </w:rPr>
        <w:t>can</w:t>
      </w:r>
      <w:r w:rsidRPr="00765384">
        <w:rPr>
          <w:color w:val="111111"/>
        </w:rPr>
        <w:t xml:space="preserve"> be reduced by following expert advice from speech pathologists and </w:t>
      </w:r>
      <w:r w:rsidR="003E70D2" w:rsidRPr="00765384">
        <w:rPr>
          <w:color w:val="111111"/>
        </w:rPr>
        <w:t>other specialists</w:t>
      </w:r>
      <w:r w:rsidRPr="00765384">
        <w:rPr>
          <w:color w:val="111111"/>
        </w:rPr>
        <w:t>.</w:t>
      </w:r>
      <w:r w:rsidR="003E70D2" w:rsidRPr="00765384">
        <w:t xml:space="preserve"> </w:t>
      </w:r>
      <w:r w:rsidRPr="00765384">
        <w:t xml:space="preserve">Early identification and management of swallowing problems can minimise risks of health complications. </w:t>
      </w:r>
    </w:p>
    <w:p w14:paraId="63B450D5" w14:textId="3CC45192" w:rsidR="00F3209F" w:rsidRPr="00765384" w:rsidRDefault="00F3209F" w:rsidP="00F3209F">
      <w:pPr>
        <w:pStyle w:val="Heading1"/>
        <w:rPr>
          <w:rFonts w:cstheme="majorHAnsi"/>
          <w:color w:val="5F2E74" w:themeColor="accent1"/>
        </w:rPr>
      </w:pPr>
      <w:r w:rsidRPr="00765384">
        <w:rPr>
          <w:rFonts w:cstheme="majorHAnsi"/>
          <w:color w:val="5F2E74" w:themeColor="accent1"/>
        </w:rPr>
        <w:t>Provider obligations related to dysphagia</w:t>
      </w:r>
    </w:p>
    <w:p w14:paraId="047D6BA2" w14:textId="77777777" w:rsidR="00F3209F" w:rsidRPr="00765384" w:rsidRDefault="00F3209F" w:rsidP="00F3209F">
      <w:pPr>
        <w:pStyle w:val="Heading2"/>
      </w:pPr>
      <w:r w:rsidRPr="00765384">
        <w:t xml:space="preserve">NDIS Code of Conduct </w:t>
      </w:r>
    </w:p>
    <w:p w14:paraId="75864302" w14:textId="064591A4" w:rsidR="00C31EAE" w:rsidRPr="00765384" w:rsidRDefault="00F3209F" w:rsidP="00F3209F">
      <w:pPr>
        <w:autoSpaceDE w:val="0"/>
        <w:autoSpaceDN w:val="0"/>
        <w:adjustRightInd w:val="0"/>
        <w:spacing w:before="120" w:after="120" w:line="276" w:lineRule="auto"/>
        <w:jc w:val="both"/>
      </w:pPr>
      <w:r w:rsidRPr="00765384">
        <w:t xml:space="preserve">You </w:t>
      </w:r>
      <w:r w:rsidR="00994643" w:rsidRPr="00765384">
        <w:t xml:space="preserve">must </w:t>
      </w:r>
      <w:r w:rsidRPr="00765384">
        <w:t>comply with the NDIS Code of Conduct when providing supports or services to NDIS participants with dysphagia or swallowing difficulties.</w:t>
      </w:r>
    </w:p>
    <w:p w14:paraId="5A96D2BB" w14:textId="3B5137D0" w:rsidR="00F3209F" w:rsidRPr="00765384" w:rsidRDefault="00F3209F" w:rsidP="00C31EAE">
      <w:pPr>
        <w:pStyle w:val="Default"/>
        <w:spacing w:before="120" w:after="120" w:line="276" w:lineRule="auto"/>
        <w:contextualSpacing/>
        <w:jc w:val="both"/>
        <w:rPr>
          <w:rFonts w:asciiTheme="minorHAnsi" w:hAnsiTheme="minorHAnsi" w:cstheme="minorHAnsi"/>
          <w:sz w:val="22"/>
          <w:szCs w:val="22"/>
        </w:rPr>
      </w:pPr>
      <w:r w:rsidRPr="00765384">
        <w:rPr>
          <w:rFonts w:asciiTheme="minorHAnsi" w:hAnsiTheme="minorHAnsi" w:cstheme="minorHAnsi"/>
          <w:sz w:val="22"/>
          <w:szCs w:val="22"/>
        </w:rPr>
        <w:lastRenderedPageBreak/>
        <w:t xml:space="preserve">The NDIS Code of Conduct requires all NDIS providers and workers who deliver NDIS supports to NDIS participants to, among other things: </w:t>
      </w:r>
    </w:p>
    <w:p w14:paraId="671F4891" w14:textId="77777777" w:rsidR="00F3209F" w:rsidRPr="00765384" w:rsidRDefault="00F3209F" w:rsidP="00C31EAE">
      <w:pPr>
        <w:pStyle w:val="Default"/>
        <w:numPr>
          <w:ilvl w:val="0"/>
          <w:numId w:val="17"/>
        </w:numPr>
        <w:spacing w:before="120" w:after="120" w:line="276" w:lineRule="auto"/>
        <w:contextualSpacing/>
        <w:jc w:val="both"/>
        <w:rPr>
          <w:rFonts w:asciiTheme="minorHAnsi" w:hAnsiTheme="minorHAnsi" w:cstheme="minorHAnsi"/>
          <w:sz w:val="22"/>
          <w:szCs w:val="22"/>
        </w:rPr>
      </w:pPr>
      <w:r w:rsidRPr="00765384">
        <w:rPr>
          <w:rFonts w:asciiTheme="minorHAnsi" w:hAnsiTheme="minorHAnsi" w:cstheme="minorHAnsi"/>
          <w:sz w:val="22"/>
          <w:szCs w:val="22"/>
        </w:rPr>
        <w:t>provide supports and services in a safe and competent manner with care and skill</w:t>
      </w:r>
    </w:p>
    <w:p w14:paraId="362FCD73" w14:textId="77777777" w:rsidR="00F3209F" w:rsidRPr="00765384" w:rsidRDefault="00F3209F" w:rsidP="00F3209F">
      <w:pPr>
        <w:pStyle w:val="Default"/>
        <w:numPr>
          <w:ilvl w:val="0"/>
          <w:numId w:val="16"/>
        </w:numPr>
        <w:spacing w:before="120" w:after="120" w:line="276" w:lineRule="auto"/>
        <w:jc w:val="both"/>
        <w:rPr>
          <w:rFonts w:asciiTheme="minorHAnsi" w:hAnsiTheme="minorHAnsi" w:cstheme="minorHAnsi"/>
          <w:sz w:val="22"/>
          <w:szCs w:val="22"/>
        </w:rPr>
      </w:pPr>
      <w:r w:rsidRPr="00765384">
        <w:rPr>
          <w:rFonts w:asciiTheme="minorHAnsi" w:eastAsia="Times New Roman" w:hAnsiTheme="minorHAnsi" w:cstheme="minorHAnsi"/>
          <w:sz w:val="22"/>
          <w:szCs w:val="22"/>
        </w:rPr>
        <w:t xml:space="preserve">promptly take steps to raise and act on concerns about matters that might have an impact on the quality and safety of supports provided to people with disability. </w:t>
      </w:r>
    </w:p>
    <w:p w14:paraId="38C9250A" w14:textId="77777777" w:rsidR="00F3209F" w:rsidRPr="00765384" w:rsidRDefault="00F3209F" w:rsidP="00F3209F">
      <w:pPr>
        <w:pStyle w:val="Heading2"/>
      </w:pPr>
      <w:r w:rsidRPr="00765384">
        <w:t xml:space="preserve">NDIS Practice Standards </w:t>
      </w:r>
    </w:p>
    <w:p w14:paraId="2C8ED77D" w14:textId="4FE9DE74" w:rsidR="00F3209F" w:rsidRPr="00765384" w:rsidRDefault="007168C0" w:rsidP="00F3209F">
      <w:pPr>
        <w:spacing w:before="120" w:after="120" w:line="276" w:lineRule="auto"/>
      </w:pPr>
      <w:r w:rsidRPr="00765384">
        <w:t>If you are</w:t>
      </w:r>
      <w:r w:rsidR="00F3209F" w:rsidRPr="00765384">
        <w:t xml:space="preserve"> a registered NDIS provider, you also have obligations under the NDIS Practice Standards, as part of your conditions of registration, that relate to the delivery of safe, quality supports and services, and the management of risks associated with the supports you provide to NDIS participants.</w:t>
      </w:r>
    </w:p>
    <w:p w14:paraId="7EED919A" w14:textId="7BD038D7" w:rsidR="00F3209F" w:rsidRPr="00765384" w:rsidRDefault="00F3209F" w:rsidP="00F3209F">
      <w:pPr>
        <w:autoSpaceDE w:val="0"/>
        <w:autoSpaceDN w:val="0"/>
        <w:adjustRightInd w:val="0"/>
        <w:spacing w:before="120" w:after="120" w:line="276" w:lineRule="auto"/>
        <w:rPr>
          <w:rFonts w:eastAsia="Times New Roman" w:cstheme="minorHAnsi"/>
          <w:color w:val="000000"/>
        </w:rPr>
      </w:pPr>
      <w:r w:rsidRPr="00765384">
        <w:rPr>
          <w:rFonts w:eastAsia="Times New Roman" w:cstheme="minorHAnsi"/>
          <w:color w:val="000000"/>
        </w:rPr>
        <w:t xml:space="preserve">The </w:t>
      </w:r>
      <w:r w:rsidR="00C31EAE" w:rsidRPr="00765384">
        <w:rPr>
          <w:rFonts w:eastAsia="Times New Roman" w:cstheme="minorHAnsi"/>
          <w:color w:val="000000"/>
        </w:rPr>
        <w:t xml:space="preserve">NDIS </w:t>
      </w:r>
      <w:r w:rsidRPr="00765384">
        <w:rPr>
          <w:rFonts w:eastAsia="Times New Roman" w:cstheme="minorHAnsi"/>
          <w:color w:val="000000"/>
        </w:rPr>
        <w:t xml:space="preserve">Commission’s guidance on the </w:t>
      </w:r>
      <w:hyperlink r:id="rId9" w:history="1">
        <w:r w:rsidRPr="00765384">
          <w:rPr>
            <w:rStyle w:val="Hyperlink"/>
          </w:rPr>
          <w:t>NDIS Practice Standards and Quality Indicators</w:t>
        </w:r>
      </w:hyperlink>
      <w:r w:rsidRPr="00765384">
        <w:rPr>
          <w:rFonts w:eastAsia="Times New Roman" w:cstheme="minorHAnsi"/>
          <w:color w:val="000000"/>
        </w:rPr>
        <w:t xml:space="preserve"> provides a further resource to assist registered NDIS providers understand their obligations.</w:t>
      </w:r>
    </w:p>
    <w:p w14:paraId="179ECCA6" w14:textId="14468380" w:rsidR="00F3209F" w:rsidRPr="00765384" w:rsidRDefault="00F3209F" w:rsidP="00C31EAE">
      <w:pPr>
        <w:autoSpaceDE w:val="0"/>
        <w:autoSpaceDN w:val="0"/>
        <w:adjustRightInd w:val="0"/>
        <w:spacing w:before="120" w:after="120" w:line="276" w:lineRule="auto"/>
        <w:contextualSpacing/>
        <w:rPr>
          <w:rFonts w:eastAsia="Times New Roman" w:cstheme="minorHAnsi"/>
          <w:color w:val="000000"/>
        </w:rPr>
      </w:pPr>
      <w:r w:rsidRPr="00765384">
        <w:rPr>
          <w:rFonts w:eastAsia="Times New Roman" w:cstheme="minorHAnsi"/>
          <w:color w:val="000000"/>
        </w:rPr>
        <w:t>The NDIS Practice Standard</w:t>
      </w:r>
      <w:r w:rsidR="00741BE9" w:rsidRPr="00765384">
        <w:rPr>
          <w:rFonts w:eastAsia="Times New Roman" w:cstheme="minorHAnsi"/>
          <w:color w:val="000000"/>
        </w:rPr>
        <w:t>s</w:t>
      </w:r>
      <w:r w:rsidRPr="00765384">
        <w:rPr>
          <w:rFonts w:eastAsia="Times New Roman" w:cstheme="minorHAnsi"/>
          <w:color w:val="000000"/>
        </w:rPr>
        <w:t xml:space="preserve"> that are most relevant to this alert include:</w:t>
      </w:r>
    </w:p>
    <w:p w14:paraId="1BD573B8" w14:textId="6E4E2A6F" w:rsidR="00741BE9" w:rsidRPr="00765384" w:rsidRDefault="00741BE9" w:rsidP="00C31EAE">
      <w:pPr>
        <w:pStyle w:val="Bullet1"/>
        <w:spacing w:before="120" w:after="120" w:line="276" w:lineRule="auto"/>
        <w:ind w:left="568"/>
        <w:contextualSpacing/>
      </w:pPr>
      <w:r w:rsidRPr="00765384">
        <w:rPr>
          <w:b/>
          <w:bCs/>
        </w:rPr>
        <w:t>Access to appropriate supports:</w:t>
      </w:r>
      <w:r w:rsidRPr="00765384">
        <w:t xml:space="preserve"> Each participant can access supports appropriate for their needs</w:t>
      </w:r>
    </w:p>
    <w:p w14:paraId="4C1CA8AC" w14:textId="67A45179" w:rsidR="00741BE9" w:rsidRPr="00765384" w:rsidRDefault="00741BE9" w:rsidP="00C31EAE">
      <w:pPr>
        <w:pStyle w:val="Bullet1"/>
        <w:spacing w:before="120" w:after="120" w:line="276" w:lineRule="auto"/>
        <w:ind w:left="568"/>
        <w:contextualSpacing/>
      </w:pPr>
      <w:r w:rsidRPr="00765384">
        <w:rPr>
          <w:b/>
          <w:bCs/>
        </w:rPr>
        <w:t>Safe environment for supports:</w:t>
      </w:r>
      <w:r w:rsidRPr="00765384">
        <w:t xml:space="preserve"> Each participant can access supports in a safe </w:t>
      </w:r>
      <w:r w:rsidR="000838A9" w:rsidRPr="00765384">
        <w:t>environment</w:t>
      </w:r>
      <w:r w:rsidRPr="00765384">
        <w:t xml:space="preserve"> which is appropriate for their needs</w:t>
      </w:r>
    </w:p>
    <w:p w14:paraId="421DB1E1" w14:textId="56C48484" w:rsidR="00F3209F" w:rsidRPr="00765384" w:rsidRDefault="00F3209F" w:rsidP="00C31EAE">
      <w:pPr>
        <w:pStyle w:val="Bullet1"/>
        <w:spacing w:before="120" w:after="120" w:line="276" w:lineRule="auto"/>
        <w:ind w:left="568"/>
        <w:contextualSpacing/>
      </w:pPr>
      <w:r w:rsidRPr="00765384">
        <w:rPr>
          <w:b/>
          <w:bCs/>
        </w:rPr>
        <w:t>Risk Management</w:t>
      </w:r>
      <w:r w:rsidRPr="00765384">
        <w:t xml:space="preserve">: Risks to participants are identified and managed. </w:t>
      </w:r>
    </w:p>
    <w:p w14:paraId="083DD9B6" w14:textId="77777777" w:rsidR="00F3209F" w:rsidRPr="00765384" w:rsidRDefault="00F3209F" w:rsidP="00C31EAE">
      <w:pPr>
        <w:pStyle w:val="Bullet1"/>
        <w:spacing w:before="120" w:after="120" w:line="276" w:lineRule="auto"/>
        <w:ind w:left="568"/>
        <w:contextualSpacing/>
      </w:pPr>
      <w:r w:rsidRPr="00765384">
        <w:rPr>
          <w:b/>
          <w:bCs/>
        </w:rPr>
        <w:t xml:space="preserve">Quality Management: </w:t>
      </w:r>
      <w:r w:rsidRPr="00765384">
        <w:t xml:space="preserve">Each participant benefits from a quality management system relevant and proportionate to the size and scale of the provider, which promotes continuous improvement of support delivery. </w:t>
      </w:r>
    </w:p>
    <w:p w14:paraId="47D5CDD8" w14:textId="77777777" w:rsidR="00F3209F" w:rsidRPr="00765384" w:rsidRDefault="00F3209F" w:rsidP="00C31EAE">
      <w:pPr>
        <w:pStyle w:val="Bullet1"/>
        <w:spacing w:before="120" w:after="120" w:line="276" w:lineRule="auto"/>
        <w:ind w:left="568"/>
        <w:contextualSpacing/>
      </w:pPr>
      <w:r w:rsidRPr="00765384">
        <w:rPr>
          <w:b/>
          <w:bCs/>
        </w:rPr>
        <w:t xml:space="preserve">Information Management: </w:t>
      </w:r>
      <w:r w:rsidRPr="00765384">
        <w:t xml:space="preserve">Each participant’s information is managed to ensure that it is identifiable, accurately recorded, current and confidential. Each participant’s information is easily accessible to the participant and appropriately utilised by relevant workers. </w:t>
      </w:r>
    </w:p>
    <w:p w14:paraId="7046B02E" w14:textId="77777777" w:rsidR="00F3209F" w:rsidRPr="00765384" w:rsidRDefault="00F3209F" w:rsidP="00C31EAE">
      <w:pPr>
        <w:pStyle w:val="Bullet1"/>
        <w:spacing w:before="120" w:after="120" w:line="276" w:lineRule="auto"/>
        <w:ind w:left="568"/>
        <w:contextualSpacing/>
      </w:pPr>
      <w:r w:rsidRPr="00765384">
        <w:rPr>
          <w:b/>
          <w:bCs/>
        </w:rPr>
        <w:t xml:space="preserve">Incident Management: </w:t>
      </w:r>
      <w:r w:rsidRPr="00765384">
        <w:t xml:space="preserve">Each participant is safeguarded by the provider’s incident management system, ensuring that incidents are acknowledged, respond to, well-managed and learned from. </w:t>
      </w:r>
    </w:p>
    <w:p w14:paraId="62E1D74F" w14:textId="28D782A4" w:rsidR="00F3209F" w:rsidRPr="00765384" w:rsidRDefault="00F3209F" w:rsidP="00F3209F">
      <w:pPr>
        <w:pStyle w:val="Bullet1"/>
        <w:spacing w:before="120" w:after="120" w:line="276" w:lineRule="auto"/>
        <w:ind w:left="568"/>
        <w:contextualSpacing/>
      </w:pPr>
      <w:r w:rsidRPr="00765384">
        <w:rPr>
          <w:b/>
          <w:bCs/>
        </w:rPr>
        <w:t>Human Resource Management:</w:t>
      </w:r>
      <w:r w:rsidR="003E70D2" w:rsidRPr="00765384">
        <w:t xml:space="preserve"> </w:t>
      </w:r>
      <w:r w:rsidRPr="00765384">
        <w:t xml:space="preserve">Each participant’s support needs are met by workers who are competent to carry out their role and have the relevant expertise, </w:t>
      </w:r>
      <w:proofErr w:type="gramStart"/>
      <w:r w:rsidRPr="00765384">
        <w:t>experience</w:t>
      </w:r>
      <w:proofErr w:type="gramEnd"/>
      <w:r w:rsidRPr="00765384">
        <w:t xml:space="preserve"> and qualifications to provide supports.</w:t>
      </w:r>
    </w:p>
    <w:p w14:paraId="59FC7949" w14:textId="39C8811A" w:rsidR="001A4048" w:rsidRPr="00765384" w:rsidRDefault="00FE2D8F" w:rsidP="00AD336C">
      <w:pPr>
        <w:pStyle w:val="Heading2"/>
      </w:pPr>
      <w:r w:rsidRPr="00765384">
        <w:t>Recommended w</w:t>
      </w:r>
      <w:r w:rsidR="00F3209F" w:rsidRPr="00765384">
        <w:t xml:space="preserve">ays </w:t>
      </w:r>
      <w:r w:rsidR="00593C19" w:rsidRPr="00765384">
        <w:t xml:space="preserve">to support </w:t>
      </w:r>
      <w:r w:rsidR="00B42593" w:rsidRPr="00765384">
        <w:t xml:space="preserve">NDIS </w:t>
      </w:r>
      <w:r w:rsidR="0006366C" w:rsidRPr="00765384">
        <w:t>p</w:t>
      </w:r>
      <w:r w:rsidR="00B42593" w:rsidRPr="00765384">
        <w:t>articipants</w:t>
      </w:r>
      <w:r w:rsidR="00284D1A" w:rsidRPr="00765384">
        <w:t xml:space="preserve"> with dyspha</w:t>
      </w:r>
      <w:r w:rsidR="007A5887" w:rsidRPr="00765384">
        <w:t>g</w:t>
      </w:r>
      <w:r w:rsidR="00284D1A" w:rsidRPr="00765384">
        <w:t xml:space="preserve">ia </w:t>
      </w:r>
    </w:p>
    <w:p w14:paraId="3D873811" w14:textId="4DDF4AE6" w:rsidR="00B00348" w:rsidRPr="00765384" w:rsidRDefault="00000A69" w:rsidP="0090679C">
      <w:pPr>
        <w:autoSpaceDE w:val="0"/>
        <w:autoSpaceDN w:val="0"/>
        <w:adjustRightInd w:val="0"/>
        <w:spacing w:before="120" w:after="120" w:line="276" w:lineRule="auto"/>
        <w:jc w:val="both"/>
      </w:pPr>
      <w:r w:rsidRPr="00765384">
        <w:t xml:space="preserve">There are </w:t>
      </w:r>
      <w:r w:rsidR="007168C0" w:rsidRPr="00765384">
        <w:t>a number of</w:t>
      </w:r>
      <w:r w:rsidRPr="00765384">
        <w:t xml:space="preserve"> steps you c</w:t>
      </w:r>
      <w:r w:rsidR="007168C0" w:rsidRPr="00765384">
        <w:t>an</w:t>
      </w:r>
      <w:r w:rsidR="00B00348" w:rsidRPr="00765384">
        <w:t xml:space="preserve"> take to provide safe and competent supports to participants with dysphagia </w:t>
      </w:r>
      <w:r w:rsidR="00F5000F" w:rsidRPr="00765384">
        <w:t xml:space="preserve">to try to </w:t>
      </w:r>
      <w:r w:rsidR="00B00348" w:rsidRPr="00765384">
        <w:t xml:space="preserve">avoid the risks of choking or aspiration </w:t>
      </w:r>
      <w:r w:rsidR="00ED765A" w:rsidRPr="00765384">
        <w:t>pneumonia, which</w:t>
      </w:r>
      <w:r w:rsidR="00B00348" w:rsidRPr="00765384">
        <w:t xml:space="preserve"> could lead to </w:t>
      </w:r>
      <w:r w:rsidR="00F5000F" w:rsidRPr="00765384">
        <w:t>the participant’s</w:t>
      </w:r>
      <w:r w:rsidRPr="00765384">
        <w:t xml:space="preserve"> death or serious </w:t>
      </w:r>
      <w:r w:rsidR="00B00348" w:rsidRPr="00765384">
        <w:t>health complications.</w:t>
      </w:r>
    </w:p>
    <w:p w14:paraId="2DF4325C" w14:textId="39533341" w:rsidR="00B00348" w:rsidRPr="00765384" w:rsidRDefault="00B00348" w:rsidP="0090679C">
      <w:pPr>
        <w:autoSpaceDE w:val="0"/>
        <w:autoSpaceDN w:val="0"/>
        <w:adjustRightInd w:val="0"/>
        <w:spacing w:before="120" w:after="120" w:line="276" w:lineRule="auto"/>
        <w:jc w:val="both"/>
      </w:pPr>
      <w:r w:rsidRPr="00765384">
        <w:t xml:space="preserve">While every participant will have different support needs for their dysphagia, there are some steps </w:t>
      </w:r>
      <w:r w:rsidR="007168C0" w:rsidRPr="00765384">
        <w:t>the NDIS Commission recommends, detailed below</w:t>
      </w:r>
      <w:r w:rsidRPr="00765384">
        <w:t>.</w:t>
      </w:r>
    </w:p>
    <w:p w14:paraId="02AD1A9D" w14:textId="774E2919" w:rsidR="00BB6F8E" w:rsidRPr="00765384" w:rsidRDefault="00BB6F8E" w:rsidP="00AD336C">
      <w:pPr>
        <w:pStyle w:val="Heading3"/>
      </w:pPr>
      <w:r w:rsidRPr="00765384">
        <w:lastRenderedPageBreak/>
        <w:t>Ensur</w:t>
      </w:r>
      <w:r w:rsidR="003C49B9" w:rsidRPr="00765384">
        <w:t>e staff know dysphagia symptoms and</w:t>
      </w:r>
      <w:r w:rsidRPr="00765384">
        <w:t xml:space="preserve"> risks</w:t>
      </w:r>
    </w:p>
    <w:p w14:paraId="48FA7552" w14:textId="2299798C" w:rsidR="00796561" w:rsidRPr="00765384" w:rsidRDefault="001C5241" w:rsidP="0027344B">
      <w:pPr>
        <w:spacing w:before="120" w:after="120" w:line="276" w:lineRule="auto"/>
      </w:pPr>
      <w:r w:rsidRPr="00765384">
        <w:t>Y</w:t>
      </w:r>
      <w:r w:rsidR="00284D1A" w:rsidRPr="00765384">
        <w:t xml:space="preserve">our </w:t>
      </w:r>
      <w:r w:rsidR="09F661E1" w:rsidRPr="00765384">
        <w:t xml:space="preserve">staff </w:t>
      </w:r>
      <w:r w:rsidR="00284D1A" w:rsidRPr="00765384">
        <w:t xml:space="preserve">should </w:t>
      </w:r>
      <w:r w:rsidR="007A5887" w:rsidRPr="00765384">
        <w:t xml:space="preserve">have </w:t>
      </w:r>
      <w:r w:rsidR="09F661E1" w:rsidRPr="00765384">
        <w:t xml:space="preserve">training </w:t>
      </w:r>
      <w:r w:rsidR="00846230" w:rsidRPr="00765384">
        <w:t xml:space="preserve">to improve their </w:t>
      </w:r>
      <w:r w:rsidR="09F661E1" w:rsidRPr="00765384">
        <w:t xml:space="preserve">knowledge and </w:t>
      </w:r>
      <w:r w:rsidR="007A5887" w:rsidRPr="00765384">
        <w:t xml:space="preserve">develop </w:t>
      </w:r>
      <w:r w:rsidR="09F661E1" w:rsidRPr="00765384">
        <w:t xml:space="preserve">skills </w:t>
      </w:r>
      <w:r w:rsidR="007A5887" w:rsidRPr="00765384">
        <w:t xml:space="preserve">so they can </w:t>
      </w:r>
      <w:r w:rsidR="09F661E1" w:rsidRPr="00765384">
        <w:t>support participants w</w:t>
      </w:r>
      <w:r w:rsidR="00796561" w:rsidRPr="00765384">
        <w:t xml:space="preserve">ho may have </w:t>
      </w:r>
      <w:r w:rsidR="00846230" w:rsidRPr="00765384">
        <w:t>dysphagia</w:t>
      </w:r>
      <w:r w:rsidR="09F661E1" w:rsidRPr="00765384">
        <w:t>.</w:t>
      </w:r>
    </w:p>
    <w:p w14:paraId="58C37530" w14:textId="467D0103" w:rsidR="09F661E1" w:rsidRPr="00765384" w:rsidRDefault="09F661E1" w:rsidP="0027344B">
      <w:pPr>
        <w:spacing w:before="120" w:after="120" w:line="276" w:lineRule="auto"/>
      </w:pPr>
      <w:r w:rsidRPr="00765384">
        <w:t xml:space="preserve">Staff should </w:t>
      </w:r>
      <w:r w:rsidR="00796561" w:rsidRPr="00765384">
        <w:t>understand how to identify</w:t>
      </w:r>
      <w:r w:rsidRPr="00765384">
        <w:t xml:space="preserve"> </w:t>
      </w:r>
      <w:r w:rsidR="00796561" w:rsidRPr="00765384">
        <w:t xml:space="preserve">and respond to </w:t>
      </w:r>
      <w:r w:rsidRPr="00765384">
        <w:t xml:space="preserve">early signs and symptoms </w:t>
      </w:r>
      <w:r w:rsidR="00796561" w:rsidRPr="00765384">
        <w:t xml:space="preserve">of </w:t>
      </w:r>
      <w:r w:rsidR="00846230" w:rsidRPr="00765384">
        <w:t>dysphagia</w:t>
      </w:r>
      <w:r w:rsidR="00880F00" w:rsidRPr="00765384">
        <w:t xml:space="preserve"> and how to support the person</w:t>
      </w:r>
      <w:r w:rsidR="007A5887" w:rsidRPr="00765384">
        <w:t xml:space="preserve"> to have </w:t>
      </w:r>
      <w:r w:rsidR="00880F00" w:rsidRPr="00765384">
        <w:t>safe and enjoyable meals.</w:t>
      </w:r>
      <w:r w:rsidR="0027344B" w:rsidRPr="00765384">
        <w:t xml:space="preserve"> </w:t>
      </w:r>
    </w:p>
    <w:p w14:paraId="06AC2722" w14:textId="449CA5F5" w:rsidR="00BB6F8E" w:rsidRPr="00765384" w:rsidRDefault="00BB6F8E" w:rsidP="00C0732B">
      <w:pPr>
        <w:pStyle w:val="Heading3"/>
      </w:pPr>
      <w:r w:rsidRPr="00765384">
        <w:t>Support p</w:t>
      </w:r>
      <w:r w:rsidR="004D460E" w:rsidRPr="00765384">
        <w:t>articipants</w:t>
      </w:r>
      <w:r w:rsidRPr="00765384">
        <w:t xml:space="preserve"> with </w:t>
      </w:r>
      <w:r w:rsidR="00A93AE1" w:rsidRPr="00765384">
        <w:t xml:space="preserve">possible swallowing </w:t>
      </w:r>
      <w:r w:rsidR="00846230" w:rsidRPr="00765384">
        <w:t xml:space="preserve">difficulties </w:t>
      </w:r>
      <w:r w:rsidR="00A93AE1" w:rsidRPr="00765384">
        <w:t>to be assessed for dysphagia</w:t>
      </w:r>
    </w:p>
    <w:p w14:paraId="4DD73CBC" w14:textId="013CFBD8" w:rsidR="00BB6F8E" w:rsidRPr="00765384" w:rsidRDefault="09F661E1" w:rsidP="0027344B">
      <w:pPr>
        <w:spacing w:before="120" w:after="120" w:line="276" w:lineRule="auto"/>
      </w:pPr>
      <w:r w:rsidRPr="00765384">
        <w:t xml:space="preserve">If </w:t>
      </w:r>
      <w:r w:rsidR="007A5887" w:rsidRPr="00765384">
        <w:t xml:space="preserve">a </w:t>
      </w:r>
      <w:r w:rsidR="004D460E" w:rsidRPr="00765384">
        <w:t xml:space="preserve">participant </w:t>
      </w:r>
      <w:r w:rsidR="007A5887" w:rsidRPr="00765384">
        <w:t xml:space="preserve">shows </w:t>
      </w:r>
      <w:r w:rsidRPr="00765384">
        <w:t xml:space="preserve">any sign or symptom of swallowing </w:t>
      </w:r>
      <w:r w:rsidR="00846230" w:rsidRPr="00765384">
        <w:t>difficulty</w:t>
      </w:r>
      <w:r w:rsidRPr="00765384">
        <w:t xml:space="preserve">, </w:t>
      </w:r>
      <w:r w:rsidR="008459B6" w:rsidRPr="00765384">
        <w:t>you</w:t>
      </w:r>
      <w:r w:rsidR="007A5887" w:rsidRPr="00765384">
        <w:t xml:space="preserve"> should </w:t>
      </w:r>
      <w:r w:rsidRPr="00765384">
        <w:t>support the</w:t>
      </w:r>
      <w:r w:rsidR="007A5887" w:rsidRPr="00765384">
        <w:t>m</w:t>
      </w:r>
      <w:r w:rsidRPr="00765384">
        <w:t xml:space="preserve"> to </w:t>
      </w:r>
      <w:r w:rsidR="00E14A3C" w:rsidRPr="00765384">
        <w:t xml:space="preserve">consult </w:t>
      </w:r>
      <w:r w:rsidRPr="00765384">
        <w:t>a</w:t>
      </w:r>
      <w:r w:rsidR="00880F00" w:rsidRPr="00765384">
        <w:t xml:space="preserve"> GP and a</w:t>
      </w:r>
      <w:r w:rsidRPr="00765384">
        <w:t xml:space="preserve"> </w:t>
      </w:r>
      <w:r w:rsidR="00846230" w:rsidRPr="00765384">
        <w:t>speech pathologist</w:t>
      </w:r>
      <w:r w:rsidR="0027344B" w:rsidRPr="00765384">
        <w:t xml:space="preserve"> promptly,</w:t>
      </w:r>
      <w:r w:rsidR="00846230" w:rsidRPr="00765384">
        <w:t xml:space="preserve"> </w:t>
      </w:r>
      <w:r w:rsidR="007A5887" w:rsidRPr="00765384">
        <w:t xml:space="preserve">so </w:t>
      </w:r>
      <w:r w:rsidR="00846230" w:rsidRPr="00765384">
        <w:t>the</w:t>
      </w:r>
      <w:r w:rsidR="007A5887" w:rsidRPr="00765384">
        <w:t xml:space="preserve">y can assess their </w:t>
      </w:r>
      <w:r w:rsidR="00846230" w:rsidRPr="00765384">
        <w:t>swallowin</w:t>
      </w:r>
      <w:r w:rsidR="00880F00" w:rsidRPr="00765384">
        <w:t xml:space="preserve">g and mealtime assistance needs </w:t>
      </w:r>
      <w:r w:rsidR="007A5887" w:rsidRPr="00765384">
        <w:t xml:space="preserve">as well as </w:t>
      </w:r>
      <w:r w:rsidR="00FF6A64" w:rsidRPr="00765384">
        <w:t xml:space="preserve">review </w:t>
      </w:r>
      <w:r w:rsidR="007A5887" w:rsidRPr="00765384">
        <w:t>their general health</w:t>
      </w:r>
      <w:r w:rsidR="00880F00" w:rsidRPr="00765384">
        <w:t>.</w:t>
      </w:r>
      <w:r w:rsidR="00AD0168" w:rsidRPr="00765384">
        <w:rPr>
          <w:rFonts w:eastAsia="Calibri"/>
          <w:color w:val="000000" w:themeColor="text1"/>
        </w:rPr>
        <w:t xml:space="preserve"> </w:t>
      </w:r>
    </w:p>
    <w:p w14:paraId="78DFE96F" w14:textId="473EF84A" w:rsidR="00BB6F8E" w:rsidRPr="00765384" w:rsidRDefault="00BB6F8E" w:rsidP="00C0732B">
      <w:pPr>
        <w:pStyle w:val="Heading3"/>
      </w:pPr>
      <w:r w:rsidRPr="00765384">
        <w:t xml:space="preserve">Support </w:t>
      </w:r>
      <w:r w:rsidR="004D460E" w:rsidRPr="00765384">
        <w:t>participants</w:t>
      </w:r>
      <w:r w:rsidRPr="00765384">
        <w:t xml:space="preserve"> with </w:t>
      </w:r>
      <w:r w:rsidR="00284D1A" w:rsidRPr="00765384">
        <w:t>dyspha</w:t>
      </w:r>
      <w:r w:rsidR="00FF6A64" w:rsidRPr="00765384">
        <w:t>g</w:t>
      </w:r>
      <w:r w:rsidR="00284D1A" w:rsidRPr="00765384">
        <w:t>ia</w:t>
      </w:r>
      <w:r w:rsidRPr="00765384">
        <w:t xml:space="preserve"> to have a mealtime manag</w:t>
      </w:r>
      <w:r w:rsidR="00D25236" w:rsidRPr="00765384">
        <w:t>ement plan</w:t>
      </w:r>
    </w:p>
    <w:p w14:paraId="5FAA47EC" w14:textId="1F79243C" w:rsidR="00000A69" w:rsidRPr="00765384" w:rsidRDefault="00117E87" w:rsidP="0027344B">
      <w:pPr>
        <w:spacing w:before="120" w:after="120" w:line="276" w:lineRule="auto"/>
      </w:pPr>
      <w:r w:rsidRPr="00765384">
        <w:t xml:space="preserve">You should support a participant with dysphagia to </w:t>
      </w:r>
      <w:r w:rsidR="00000A69" w:rsidRPr="00765384">
        <w:t>have a mealtime management plan written by a health professional.</w:t>
      </w:r>
      <w:r w:rsidR="003E70D2" w:rsidRPr="00765384">
        <w:t xml:space="preserve"> </w:t>
      </w:r>
      <w:r w:rsidR="0027344B" w:rsidRPr="00765384">
        <w:t xml:space="preserve">A </w:t>
      </w:r>
      <w:r w:rsidR="09F661E1" w:rsidRPr="00765384">
        <w:t>speech pathologist</w:t>
      </w:r>
      <w:r w:rsidR="0027344B" w:rsidRPr="00765384">
        <w:t xml:space="preserve"> can</w:t>
      </w:r>
      <w:r w:rsidR="09F661E1" w:rsidRPr="00765384">
        <w:t xml:space="preserve"> prescribe </w:t>
      </w:r>
      <w:r w:rsidR="00880F00" w:rsidRPr="00765384">
        <w:t xml:space="preserve">and recommend </w:t>
      </w:r>
      <w:r w:rsidR="09F661E1" w:rsidRPr="00765384">
        <w:t xml:space="preserve">specific </w:t>
      </w:r>
      <w:r w:rsidR="00880F00" w:rsidRPr="00765384">
        <w:t xml:space="preserve">actions </w:t>
      </w:r>
      <w:r w:rsidR="09F661E1" w:rsidRPr="00765384">
        <w:t xml:space="preserve">for </w:t>
      </w:r>
      <w:r w:rsidR="00FF6A64" w:rsidRPr="00765384">
        <w:t xml:space="preserve">a </w:t>
      </w:r>
      <w:r w:rsidR="09F661E1" w:rsidRPr="00765384">
        <w:t>person to eat and drink safely</w:t>
      </w:r>
      <w:r w:rsidR="00FF6A64" w:rsidRPr="00765384">
        <w:t xml:space="preserve"> and develop a mealtime management plan</w:t>
      </w:r>
      <w:r w:rsidR="00000A69" w:rsidRPr="00765384">
        <w:t xml:space="preserve"> for their needs</w:t>
      </w:r>
      <w:r w:rsidR="09F661E1" w:rsidRPr="00765384">
        <w:t xml:space="preserve">. </w:t>
      </w:r>
      <w:r w:rsidR="0027344B" w:rsidRPr="00765384">
        <w:t>They</w:t>
      </w:r>
      <w:r w:rsidR="00880F00" w:rsidRPr="00765384">
        <w:t xml:space="preserve"> </w:t>
      </w:r>
      <w:r w:rsidR="0027344B" w:rsidRPr="00765384">
        <w:t xml:space="preserve">will also </w:t>
      </w:r>
      <w:r w:rsidR="00880F00" w:rsidRPr="00765384">
        <w:t>specify when plans need to be reviewed.</w:t>
      </w:r>
      <w:r w:rsidR="003E70D2" w:rsidRPr="00765384">
        <w:t xml:space="preserve"> </w:t>
      </w:r>
    </w:p>
    <w:p w14:paraId="755C1BD1" w14:textId="2807310F" w:rsidR="00880F00" w:rsidRPr="00765384" w:rsidRDefault="0027344B" w:rsidP="0027344B">
      <w:pPr>
        <w:spacing w:before="120" w:after="120" w:line="276" w:lineRule="auto"/>
      </w:pPr>
      <w:r w:rsidRPr="00765384">
        <w:t>A</w:t>
      </w:r>
      <w:r w:rsidR="00880F00" w:rsidRPr="00765384">
        <w:t xml:space="preserve"> </w:t>
      </w:r>
      <w:r w:rsidRPr="00765384">
        <w:t>d</w:t>
      </w:r>
      <w:r w:rsidR="00880F00" w:rsidRPr="00765384">
        <w:t xml:space="preserve">ietitian may </w:t>
      </w:r>
      <w:r w:rsidR="00FF6A64" w:rsidRPr="00765384">
        <w:t xml:space="preserve">contribute to the </w:t>
      </w:r>
      <w:r w:rsidR="00880F00" w:rsidRPr="00765384">
        <w:t xml:space="preserve">mealtime management plan by ensuring there is enough nutrition and hydration in </w:t>
      </w:r>
      <w:r w:rsidR="00FF6A64" w:rsidRPr="00765384">
        <w:t xml:space="preserve">the recommended </w:t>
      </w:r>
      <w:r w:rsidR="00880F00" w:rsidRPr="00765384">
        <w:t>modified meals.</w:t>
      </w:r>
    </w:p>
    <w:p w14:paraId="7F41D8F9" w14:textId="7633F80C" w:rsidR="00D04675" w:rsidRPr="00765384" w:rsidRDefault="09F661E1" w:rsidP="0027344B">
      <w:pPr>
        <w:spacing w:before="120" w:after="120" w:line="276" w:lineRule="auto"/>
      </w:pPr>
      <w:r w:rsidRPr="00765384">
        <w:t xml:space="preserve">Mealtime management plans may </w:t>
      </w:r>
      <w:r w:rsidR="0027344B" w:rsidRPr="00765384">
        <w:t xml:space="preserve">include </w:t>
      </w:r>
      <w:r w:rsidR="00880F00" w:rsidRPr="00765384">
        <w:t>recommendations to:</w:t>
      </w:r>
    </w:p>
    <w:p w14:paraId="2E166A7C" w14:textId="559966AE" w:rsidR="00880F00" w:rsidRPr="00765384" w:rsidRDefault="00593C19" w:rsidP="0027344B">
      <w:pPr>
        <w:pStyle w:val="Bullet1"/>
        <w:ind w:left="567"/>
      </w:pPr>
      <w:r w:rsidRPr="00765384">
        <w:t>i</w:t>
      </w:r>
      <w:r w:rsidR="00880F00" w:rsidRPr="00765384">
        <w:t>mprove t</w:t>
      </w:r>
      <w:r w:rsidR="00FF6A64" w:rsidRPr="00765384">
        <w:t xml:space="preserve">he </w:t>
      </w:r>
      <w:r w:rsidR="00880F00" w:rsidRPr="00765384">
        <w:t xml:space="preserve">seating and positioning supports for </w:t>
      </w:r>
      <w:r w:rsidR="00FF6A64" w:rsidRPr="00765384">
        <w:t xml:space="preserve">a person’s </w:t>
      </w:r>
      <w:r w:rsidR="00880F00" w:rsidRPr="00765384">
        <w:t>safe positioning during meals</w:t>
      </w:r>
    </w:p>
    <w:p w14:paraId="635CA4B1" w14:textId="7904F248" w:rsidR="00880F00" w:rsidRPr="00765384" w:rsidRDefault="00593C19" w:rsidP="0027344B">
      <w:pPr>
        <w:pStyle w:val="Bullet1"/>
        <w:ind w:left="567"/>
      </w:pPr>
      <w:r w:rsidRPr="00765384">
        <w:t xml:space="preserve">modify </w:t>
      </w:r>
      <w:r w:rsidR="00880F00" w:rsidRPr="00765384">
        <w:t>food textures to make the food easier to chew and swallow</w:t>
      </w:r>
    </w:p>
    <w:p w14:paraId="7B9B8CA2" w14:textId="754B7B07" w:rsidR="00880F00" w:rsidRPr="00765384" w:rsidRDefault="00593C19" w:rsidP="0027344B">
      <w:pPr>
        <w:pStyle w:val="Bullet1"/>
        <w:ind w:left="567"/>
      </w:pPr>
      <w:r w:rsidRPr="00765384">
        <w:t xml:space="preserve">provide </w:t>
      </w:r>
      <w:r w:rsidR="00880F00" w:rsidRPr="00765384">
        <w:t>specific mealtime assistance techniques, including any reminders about</w:t>
      </w:r>
      <w:r w:rsidR="008E50AF" w:rsidRPr="00765384">
        <w:t xml:space="preserve"> </w:t>
      </w:r>
      <w:r w:rsidR="00880F00" w:rsidRPr="00765384">
        <w:t xml:space="preserve">a safe rate of eating, </w:t>
      </w:r>
      <w:r w:rsidR="0027344B" w:rsidRPr="00765384">
        <w:t xml:space="preserve">or </w:t>
      </w:r>
      <w:r w:rsidR="00880F00" w:rsidRPr="00765384">
        <w:t>a safe</w:t>
      </w:r>
      <w:r w:rsidR="008E50AF" w:rsidRPr="00765384">
        <w:t xml:space="preserve"> amount</w:t>
      </w:r>
      <w:r w:rsidR="09F661E1" w:rsidRPr="00765384">
        <w:t xml:space="preserve"> </w:t>
      </w:r>
      <w:r w:rsidR="008E50AF" w:rsidRPr="00765384">
        <w:t>of food in each mouthful</w:t>
      </w:r>
      <w:r w:rsidR="00880F00" w:rsidRPr="00765384">
        <w:t xml:space="preserve"> </w:t>
      </w:r>
    </w:p>
    <w:p w14:paraId="2A0E5729" w14:textId="4DD35EAA" w:rsidR="00880F00" w:rsidRPr="00765384" w:rsidRDefault="00593C19" w:rsidP="0027344B">
      <w:pPr>
        <w:pStyle w:val="Bullet1"/>
        <w:ind w:left="567"/>
      </w:pPr>
      <w:r w:rsidRPr="00765384">
        <w:t>r</w:t>
      </w:r>
      <w:r w:rsidR="00C242C7" w:rsidRPr="00765384">
        <w:t>espond</w:t>
      </w:r>
      <w:r w:rsidR="00880F00" w:rsidRPr="00765384">
        <w:t xml:space="preserve"> to coughing or choking</w:t>
      </w:r>
      <w:r w:rsidR="00FF6A64" w:rsidRPr="00765384">
        <w:t xml:space="preserve"> and make sure risks are</w:t>
      </w:r>
      <w:r w:rsidR="00880F00" w:rsidRPr="00765384">
        <w:t xml:space="preserve"> monito</w:t>
      </w:r>
      <w:r w:rsidR="00FF6A64" w:rsidRPr="00765384">
        <w:t>red</w:t>
      </w:r>
      <w:r w:rsidR="00880F00" w:rsidRPr="00765384">
        <w:t xml:space="preserve"> while</w:t>
      </w:r>
      <w:r w:rsidR="00FF6A64" w:rsidRPr="00765384">
        <w:t xml:space="preserve"> a person is</w:t>
      </w:r>
      <w:r w:rsidR="003E70D2" w:rsidRPr="00765384">
        <w:t xml:space="preserve"> eating or drinking</w:t>
      </w:r>
    </w:p>
    <w:p w14:paraId="65303226" w14:textId="16BBEDE4" w:rsidR="00D04675" w:rsidRPr="00765384" w:rsidRDefault="00593C19" w:rsidP="0027344B">
      <w:pPr>
        <w:pStyle w:val="Bullet1"/>
        <w:ind w:left="567"/>
      </w:pPr>
      <w:r w:rsidRPr="00765384">
        <w:t>u</w:t>
      </w:r>
      <w:r w:rsidR="00C242C7" w:rsidRPr="00765384">
        <w:t>s</w:t>
      </w:r>
      <w:r w:rsidRPr="00765384">
        <w:t>e</w:t>
      </w:r>
      <w:r w:rsidR="00880F00" w:rsidRPr="00765384">
        <w:t xml:space="preserve"> feeding equipment for people who</w:t>
      </w:r>
      <w:r w:rsidR="00C242C7" w:rsidRPr="00765384">
        <w:t xml:space="preserve"> have severe dysphagia, including assistive technology </w:t>
      </w:r>
      <w:r w:rsidR="00D23537" w:rsidRPr="00765384">
        <w:t xml:space="preserve">such as </w:t>
      </w:r>
      <w:r w:rsidR="00C242C7" w:rsidRPr="00765384">
        <w:t xml:space="preserve">spoons, plates, </w:t>
      </w:r>
      <w:proofErr w:type="gramStart"/>
      <w:r w:rsidR="00C242C7" w:rsidRPr="00765384">
        <w:t>cups</w:t>
      </w:r>
      <w:proofErr w:type="gramEnd"/>
      <w:r w:rsidR="00C242C7" w:rsidRPr="00765384">
        <w:t xml:space="preserve"> and straws; and tube feeding equipment for those with severe or profound difficulty swallowing</w:t>
      </w:r>
      <w:r w:rsidR="00880F00" w:rsidRPr="00765384">
        <w:t xml:space="preserve"> who require tub</w:t>
      </w:r>
      <w:r w:rsidR="00C242C7" w:rsidRPr="00765384">
        <w:t>e feeding.</w:t>
      </w:r>
    </w:p>
    <w:p w14:paraId="12DAA460" w14:textId="14696961" w:rsidR="00BB6F8E" w:rsidRPr="00765384" w:rsidRDefault="003C49B9" w:rsidP="00C0732B">
      <w:pPr>
        <w:pStyle w:val="Heading3"/>
      </w:pPr>
      <w:r w:rsidRPr="00765384">
        <w:t xml:space="preserve">Support people </w:t>
      </w:r>
      <w:r w:rsidR="00A06F5D" w:rsidRPr="00765384">
        <w:t xml:space="preserve">with dysphagia </w:t>
      </w:r>
      <w:r w:rsidR="00000A69" w:rsidRPr="00765384">
        <w:t xml:space="preserve">to eat and drink safely </w:t>
      </w:r>
      <w:r w:rsidRPr="00765384">
        <w:t>during mealtimes</w:t>
      </w:r>
    </w:p>
    <w:p w14:paraId="209C0750" w14:textId="25DC0CCE" w:rsidR="009B12C8" w:rsidRPr="00765384" w:rsidRDefault="00593C19" w:rsidP="0027344B">
      <w:pPr>
        <w:spacing w:before="120" w:after="120" w:line="276" w:lineRule="auto"/>
      </w:pPr>
      <w:r w:rsidRPr="00765384">
        <w:t xml:space="preserve">You </w:t>
      </w:r>
      <w:r w:rsidR="00B00348" w:rsidRPr="00765384">
        <w:t>should</w:t>
      </w:r>
      <w:r w:rsidR="009B12C8" w:rsidRPr="00765384">
        <w:t xml:space="preserve"> ensure that:</w:t>
      </w:r>
    </w:p>
    <w:p w14:paraId="3D5E4D21" w14:textId="12F54B6B" w:rsidR="003C49B9" w:rsidRPr="00765384" w:rsidRDefault="003C49B9" w:rsidP="0027344B">
      <w:pPr>
        <w:pStyle w:val="Bullet1"/>
        <w:ind w:left="567"/>
        <w:rPr>
          <w:rFonts w:asciiTheme="minorHAnsi" w:eastAsiaTheme="minorEastAsia" w:hAnsiTheme="minorHAnsi" w:cstheme="minorBidi"/>
        </w:rPr>
      </w:pPr>
      <w:r w:rsidRPr="00765384">
        <w:t xml:space="preserve">staff receive the necessary training and support to implement </w:t>
      </w:r>
      <w:r w:rsidR="008D1526" w:rsidRPr="00765384">
        <w:t xml:space="preserve">a mealtime management plan or other </w:t>
      </w:r>
      <w:r w:rsidR="00DE418A" w:rsidRPr="00765384">
        <w:t xml:space="preserve">mealtime </w:t>
      </w:r>
      <w:r w:rsidRPr="00765384">
        <w:t xml:space="preserve">recommendations for </w:t>
      </w:r>
      <w:r w:rsidR="00DE418A" w:rsidRPr="00765384">
        <w:t xml:space="preserve">swallowing safely and </w:t>
      </w:r>
      <w:r w:rsidRPr="00765384">
        <w:t xml:space="preserve">mealtime </w:t>
      </w:r>
      <w:r w:rsidR="001F54F9" w:rsidRPr="00765384">
        <w:t>management</w:t>
      </w:r>
    </w:p>
    <w:p w14:paraId="35E06971" w14:textId="18D8AD74" w:rsidR="00A06F5D" w:rsidRPr="00765384" w:rsidRDefault="00A06F5D" w:rsidP="00A06F5D">
      <w:pPr>
        <w:pStyle w:val="Bullet1"/>
        <w:ind w:left="567"/>
      </w:pPr>
      <w:r w:rsidRPr="00765384">
        <w:t>meals for participants with dysphagia</w:t>
      </w:r>
      <w:r w:rsidR="008459B6" w:rsidRPr="00765384">
        <w:t>,</w:t>
      </w:r>
      <w:r w:rsidRPr="00765384">
        <w:t xml:space="preserve"> and medication</w:t>
      </w:r>
      <w:r w:rsidR="008459B6" w:rsidRPr="00765384">
        <w:t xml:space="preserve"> taken orally,</w:t>
      </w:r>
      <w:r w:rsidRPr="00765384">
        <w:t xml:space="preserve"> are prepared </w:t>
      </w:r>
      <w:r w:rsidR="00672C9E" w:rsidRPr="00765384">
        <w:t xml:space="preserve">as directed </w:t>
      </w:r>
      <w:r w:rsidRPr="00765384">
        <w:t xml:space="preserve">and mealtime </w:t>
      </w:r>
      <w:proofErr w:type="gramStart"/>
      <w:r w:rsidRPr="00765384">
        <w:t>supports</w:t>
      </w:r>
      <w:proofErr w:type="gramEnd"/>
      <w:r w:rsidRPr="00765384">
        <w:t xml:space="preserve"> and assistance are provided as recommended by health professionals.</w:t>
      </w:r>
    </w:p>
    <w:p w14:paraId="431CBBE9" w14:textId="05E40578" w:rsidR="003C49B9" w:rsidRPr="00765384" w:rsidRDefault="003C49B9" w:rsidP="0027344B">
      <w:pPr>
        <w:pStyle w:val="Bullet1"/>
        <w:ind w:left="567"/>
        <w:rPr>
          <w:rFonts w:asciiTheme="minorHAnsi" w:eastAsiaTheme="minorEastAsia" w:hAnsiTheme="minorHAnsi" w:cstheme="minorBidi"/>
        </w:rPr>
      </w:pPr>
      <w:r w:rsidRPr="00765384">
        <w:t>trained staff</w:t>
      </w:r>
      <w:r w:rsidR="09F661E1" w:rsidRPr="00765384">
        <w:t xml:space="preserve"> </w:t>
      </w:r>
      <w:r w:rsidRPr="00765384">
        <w:t xml:space="preserve">are available to monitor </w:t>
      </w:r>
      <w:r w:rsidR="009B12C8" w:rsidRPr="00765384">
        <w:t xml:space="preserve">people </w:t>
      </w:r>
      <w:r w:rsidR="00A06F5D" w:rsidRPr="00765384">
        <w:t xml:space="preserve">with dysphagia </w:t>
      </w:r>
      <w:r w:rsidR="009B12C8" w:rsidRPr="00765384">
        <w:t>during mealtimes</w:t>
      </w:r>
    </w:p>
    <w:p w14:paraId="09A28E39" w14:textId="4959FC3B" w:rsidR="00B00348" w:rsidRPr="00765384" w:rsidRDefault="00B00348" w:rsidP="0027344B">
      <w:pPr>
        <w:pStyle w:val="Bullet1"/>
        <w:ind w:left="567"/>
        <w:rPr>
          <w:rFonts w:asciiTheme="minorHAnsi" w:eastAsiaTheme="minorEastAsia" w:hAnsiTheme="minorHAnsi" w:cstheme="minorBidi"/>
        </w:rPr>
      </w:pPr>
      <w:r w:rsidRPr="00765384">
        <w:t>staff know how to respond if a participant starts to choke during mealtimes</w:t>
      </w:r>
      <w:r w:rsidR="00A06F5D" w:rsidRPr="00765384">
        <w:t>, including when they should call an ambulance</w:t>
      </w:r>
    </w:p>
    <w:p w14:paraId="0D6456D6" w14:textId="475F7C0F" w:rsidR="00BB6F8E" w:rsidRPr="00765384" w:rsidRDefault="09F661E1" w:rsidP="0027344B">
      <w:pPr>
        <w:pStyle w:val="Bullet1"/>
        <w:ind w:left="567"/>
        <w:rPr>
          <w:rFonts w:asciiTheme="minorHAnsi" w:eastAsiaTheme="minorEastAsia" w:hAnsiTheme="minorHAnsi" w:cstheme="minorBidi"/>
        </w:rPr>
      </w:pPr>
      <w:r w:rsidRPr="00765384">
        <w:t>mealtime safety</w:t>
      </w:r>
      <w:r w:rsidR="00FF6A64" w:rsidRPr="00765384">
        <w:t xml:space="preserve"> issues </w:t>
      </w:r>
      <w:r w:rsidR="00A06F5D" w:rsidRPr="00765384">
        <w:t xml:space="preserve">for people with dysphagia </w:t>
      </w:r>
      <w:r w:rsidR="00FF6A64" w:rsidRPr="00765384">
        <w:t xml:space="preserve">are </w:t>
      </w:r>
      <w:r w:rsidR="00A06F5D" w:rsidRPr="00765384">
        <w:t xml:space="preserve">regularly </w:t>
      </w:r>
      <w:r w:rsidR="001F54F9" w:rsidRPr="00765384">
        <w:t>considered</w:t>
      </w:r>
      <w:r w:rsidRPr="00765384">
        <w:t xml:space="preserve"> in staff meetings</w:t>
      </w:r>
      <w:r w:rsidR="00A06F5D" w:rsidRPr="00765384">
        <w:t xml:space="preserve"> and addressed in </w:t>
      </w:r>
      <w:r w:rsidRPr="00765384">
        <w:t xml:space="preserve">day-to-day procedures, </w:t>
      </w:r>
      <w:r w:rsidR="008459B6" w:rsidRPr="00765384">
        <w:t xml:space="preserve">participants’ </w:t>
      </w:r>
      <w:r w:rsidRPr="00765384">
        <w:t>documentation, and pl</w:t>
      </w:r>
      <w:r w:rsidR="009B12C8" w:rsidRPr="00765384">
        <w:t>ans for transition to hospital</w:t>
      </w:r>
    </w:p>
    <w:p w14:paraId="55AD6CBE" w14:textId="3E192335" w:rsidR="00BB6F8E" w:rsidRPr="00765384" w:rsidRDefault="00C0732B" w:rsidP="00C0732B">
      <w:pPr>
        <w:pStyle w:val="Heading3"/>
        <w:jc w:val="both"/>
        <w:rPr>
          <w:color w:val="111111"/>
        </w:rPr>
      </w:pPr>
      <w:r w:rsidRPr="00765384">
        <w:lastRenderedPageBreak/>
        <w:t>Ensure</w:t>
      </w:r>
      <w:r w:rsidR="00BB6F8E" w:rsidRPr="00765384">
        <w:t xml:space="preserve"> mealtime management plans</w:t>
      </w:r>
      <w:r w:rsidRPr="00765384">
        <w:t xml:space="preserve"> are regularly reviewed</w:t>
      </w:r>
    </w:p>
    <w:p w14:paraId="264F8A89" w14:textId="77777777" w:rsidR="00F5000F" w:rsidRPr="00765384" w:rsidRDefault="00BB6F8E" w:rsidP="00C31EAE">
      <w:pPr>
        <w:spacing w:before="120" w:after="120" w:line="276" w:lineRule="auto"/>
      </w:pPr>
      <w:r w:rsidRPr="00765384">
        <w:t xml:space="preserve">Mealtime management plans need to be reviewed </w:t>
      </w:r>
      <w:r w:rsidR="00C242C7" w:rsidRPr="00765384">
        <w:t>regularly</w:t>
      </w:r>
      <w:r w:rsidRPr="00765384">
        <w:t xml:space="preserve">. </w:t>
      </w:r>
      <w:r w:rsidR="00F5000F" w:rsidRPr="00765384">
        <w:t>You should support a participant with dysphagia to arrange this.</w:t>
      </w:r>
    </w:p>
    <w:p w14:paraId="7BE0F5DC" w14:textId="1860C1B5" w:rsidR="00BB6F8E" w:rsidRPr="00765384" w:rsidRDefault="00284D1A" w:rsidP="00C31EAE">
      <w:pPr>
        <w:spacing w:before="120" w:after="120" w:line="276" w:lineRule="auto"/>
      </w:pPr>
      <w:r w:rsidRPr="00765384">
        <w:t>The s</w:t>
      </w:r>
      <w:r w:rsidR="00BB6F8E" w:rsidRPr="00765384">
        <w:t>peech pathologist who develop</w:t>
      </w:r>
      <w:r w:rsidRPr="00765384">
        <w:t>s a</w:t>
      </w:r>
      <w:r w:rsidR="00BB6F8E" w:rsidRPr="00765384">
        <w:t xml:space="preserve"> mealtime management plan will include how often it should be </w:t>
      </w:r>
      <w:proofErr w:type="gramStart"/>
      <w:r w:rsidR="00BB6F8E" w:rsidRPr="00765384">
        <w:t>reviewed, and</w:t>
      </w:r>
      <w:proofErr w:type="gramEnd"/>
      <w:r w:rsidR="00BB6F8E" w:rsidRPr="00765384">
        <w:t xml:space="preserve"> may specify </w:t>
      </w:r>
      <w:r w:rsidRPr="00765384">
        <w:t xml:space="preserve">the </w:t>
      </w:r>
      <w:r w:rsidR="00BB6F8E" w:rsidRPr="00765384">
        <w:t xml:space="preserve">circumstances in which you should request a review. </w:t>
      </w:r>
    </w:p>
    <w:p w14:paraId="1E656C40" w14:textId="2B25A17A" w:rsidR="00D04675" w:rsidRPr="00765384" w:rsidRDefault="00C0732B" w:rsidP="00C0732B">
      <w:pPr>
        <w:pStyle w:val="Heading3"/>
      </w:pPr>
      <w:r w:rsidRPr="00765384">
        <w:t>Ensure</w:t>
      </w:r>
      <w:r w:rsidR="00D04675" w:rsidRPr="00765384">
        <w:t xml:space="preserve"> medications </w:t>
      </w:r>
      <w:r w:rsidRPr="00765384">
        <w:t>are regularly reviewed</w:t>
      </w:r>
      <w:r w:rsidR="00D04675" w:rsidRPr="00765384">
        <w:t xml:space="preserve"> </w:t>
      </w:r>
    </w:p>
    <w:p w14:paraId="10D8E873" w14:textId="5E8CE303" w:rsidR="00284D1A" w:rsidRPr="00765384" w:rsidRDefault="004D460E" w:rsidP="00C0732B">
      <w:pPr>
        <w:spacing w:before="120" w:after="120" w:line="276" w:lineRule="auto"/>
      </w:pPr>
      <w:r w:rsidRPr="00765384">
        <w:t xml:space="preserve">You should support a participant with dysphagia to have their </w:t>
      </w:r>
      <w:r w:rsidR="00284D1A" w:rsidRPr="00765384">
        <w:t xml:space="preserve">medications </w:t>
      </w:r>
      <w:r w:rsidR="001916AA" w:rsidRPr="00765384">
        <w:t xml:space="preserve">regularly </w:t>
      </w:r>
      <w:r w:rsidR="09F661E1" w:rsidRPr="00765384">
        <w:t>reviewed by a GP, the prescribing medical practitioner</w:t>
      </w:r>
      <w:r w:rsidR="00DE418A" w:rsidRPr="00765384">
        <w:t>, or a pharmacist</w:t>
      </w:r>
      <w:r w:rsidR="00284D1A" w:rsidRPr="00765384">
        <w:t xml:space="preserve"> to assess whether </w:t>
      </w:r>
      <w:r w:rsidR="00C242C7" w:rsidRPr="00765384">
        <w:t>the medicatio</w:t>
      </w:r>
      <w:r w:rsidR="00DE418A" w:rsidRPr="00765384">
        <w:t xml:space="preserve">ns </w:t>
      </w:r>
      <w:r w:rsidR="00D23537" w:rsidRPr="00765384">
        <w:t xml:space="preserve">may </w:t>
      </w:r>
      <w:r w:rsidR="00284D1A" w:rsidRPr="00765384">
        <w:t xml:space="preserve">affect </w:t>
      </w:r>
      <w:r w:rsidR="00DE418A" w:rsidRPr="00765384">
        <w:t>the</w:t>
      </w:r>
      <w:r w:rsidRPr="00765384">
        <w:t>ir</w:t>
      </w:r>
      <w:r w:rsidR="00DE418A" w:rsidRPr="00765384">
        <w:t xml:space="preserve"> swallowing. </w:t>
      </w:r>
    </w:p>
    <w:p w14:paraId="02A38D69" w14:textId="45FD2DF5" w:rsidR="00284D1A" w:rsidRPr="00765384" w:rsidRDefault="00284D1A" w:rsidP="00C0732B">
      <w:pPr>
        <w:spacing w:before="120" w:after="120" w:line="276" w:lineRule="auto"/>
      </w:pPr>
      <w:r w:rsidRPr="00765384">
        <w:t xml:space="preserve">The review </w:t>
      </w:r>
      <w:r w:rsidR="00D23537" w:rsidRPr="00765384">
        <w:t>can</w:t>
      </w:r>
      <w:r w:rsidRPr="00765384">
        <w:t xml:space="preserve"> also</w:t>
      </w:r>
      <w:r w:rsidR="00DE418A" w:rsidRPr="00765384">
        <w:t xml:space="preserve"> determine</w:t>
      </w:r>
      <w:r w:rsidR="00C242C7" w:rsidRPr="00765384">
        <w:t xml:space="preserve"> </w:t>
      </w:r>
      <w:r w:rsidR="09F661E1" w:rsidRPr="00765384">
        <w:t xml:space="preserve">if </w:t>
      </w:r>
      <w:r w:rsidR="00C242C7" w:rsidRPr="00765384">
        <w:t xml:space="preserve">the medications are suitable </w:t>
      </w:r>
      <w:r w:rsidR="008459B6" w:rsidRPr="00765384">
        <w:t>when managing risks around</w:t>
      </w:r>
      <w:r w:rsidR="00D23537" w:rsidRPr="00765384">
        <w:t xml:space="preserve"> swallowing</w:t>
      </w:r>
      <w:r w:rsidR="008459B6" w:rsidRPr="00765384">
        <w:t>.</w:t>
      </w:r>
      <w:r w:rsidR="09F661E1" w:rsidRPr="00765384">
        <w:t xml:space="preserve"> </w:t>
      </w:r>
      <w:r w:rsidR="00DE418A" w:rsidRPr="00765384">
        <w:t>Several medications have impacts on swallowing, particularly medications for epilep</w:t>
      </w:r>
      <w:r w:rsidR="00E829A6">
        <w:t>sy or mental health conditions.</w:t>
      </w:r>
      <w:r w:rsidR="00477A13">
        <w:t xml:space="preserve"> Refer to the NDIS Commission’s </w:t>
      </w:r>
      <w:hyperlink r:id="rId10" w:history="1">
        <w:r w:rsidR="00477A13" w:rsidRPr="00477A13">
          <w:rPr>
            <w:rStyle w:val="Hyperlink"/>
          </w:rPr>
          <w:t>Practice Alert: Medications associated with swallowing problems</w:t>
        </w:r>
      </w:hyperlink>
      <w:r w:rsidR="00477A13">
        <w:t>.</w:t>
      </w:r>
    </w:p>
    <w:p w14:paraId="54CE2697" w14:textId="457E0E01" w:rsidR="00BB6F8E" w:rsidRPr="00765384" w:rsidRDefault="09F661E1" w:rsidP="009359E9">
      <w:pPr>
        <w:pStyle w:val="Heading1"/>
      </w:pPr>
      <w:r w:rsidRPr="00765384">
        <w:t>References</w:t>
      </w:r>
    </w:p>
    <w:p w14:paraId="300AE2B8" w14:textId="2E323D02" w:rsidR="09F661E1" w:rsidRPr="00765384" w:rsidRDefault="09F661E1" w:rsidP="00407E61">
      <w:pPr>
        <w:pStyle w:val="Default"/>
        <w:spacing w:before="120" w:after="120" w:line="276" w:lineRule="auto"/>
        <w:rPr>
          <w:rFonts w:asciiTheme="minorHAnsi" w:eastAsia="Calibri" w:hAnsiTheme="minorHAnsi" w:cstheme="minorHAnsi"/>
          <w:color w:val="000000" w:themeColor="text1"/>
          <w:sz w:val="22"/>
          <w:szCs w:val="22"/>
        </w:rPr>
      </w:pPr>
      <w:proofErr w:type="spellStart"/>
      <w:r w:rsidRPr="0030095B">
        <w:rPr>
          <w:rFonts w:asciiTheme="minorHAnsi" w:eastAsia="Calibri" w:hAnsiTheme="minorHAnsi" w:cstheme="minorHAnsi"/>
          <w:color w:val="000000" w:themeColor="text1"/>
          <w:sz w:val="22"/>
          <w:szCs w:val="22"/>
          <w:lang w:val="fr-FR"/>
        </w:rPr>
        <w:t>Cicala</w:t>
      </w:r>
      <w:proofErr w:type="spellEnd"/>
      <w:r w:rsidRPr="0030095B">
        <w:rPr>
          <w:rFonts w:asciiTheme="minorHAnsi" w:eastAsia="Calibri" w:hAnsiTheme="minorHAnsi" w:cstheme="minorHAnsi"/>
          <w:color w:val="000000" w:themeColor="text1"/>
          <w:sz w:val="22"/>
          <w:szCs w:val="22"/>
          <w:lang w:val="fr-FR"/>
        </w:rPr>
        <w:t xml:space="preserve">, G., Barbieri, M. A., Spina, E., &amp; de Leon, J. (2019). </w:t>
      </w:r>
      <w:r w:rsidRPr="00765384">
        <w:rPr>
          <w:rFonts w:asciiTheme="minorHAnsi" w:eastAsia="Calibri" w:hAnsiTheme="minorHAnsi" w:cstheme="minorHAnsi"/>
          <w:color w:val="000000" w:themeColor="text1"/>
          <w:sz w:val="22"/>
          <w:szCs w:val="22"/>
        </w:rPr>
        <w:t xml:space="preserve">A comprehensive review of swallowing difficulties and dysphagia associated with antipsychotics in adults. Expert Review of Clinical Pharmacology, 12(3),219-234. </w:t>
      </w:r>
      <w:proofErr w:type="spellStart"/>
      <w:r w:rsidRPr="00765384">
        <w:rPr>
          <w:rFonts w:asciiTheme="minorHAnsi" w:eastAsia="Calibri" w:hAnsiTheme="minorHAnsi" w:cstheme="minorHAnsi"/>
          <w:color w:val="000000" w:themeColor="text1"/>
          <w:sz w:val="22"/>
          <w:szCs w:val="22"/>
        </w:rPr>
        <w:t>doi</w:t>
      </w:r>
      <w:proofErr w:type="spellEnd"/>
      <w:r w:rsidRPr="00765384">
        <w:rPr>
          <w:rFonts w:asciiTheme="minorHAnsi" w:eastAsia="Calibri" w:hAnsiTheme="minorHAnsi" w:cstheme="minorHAnsi"/>
          <w:color w:val="000000" w:themeColor="text1"/>
          <w:sz w:val="22"/>
          <w:szCs w:val="22"/>
        </w:rPr>
        <w:t>: 10.1080/17512433.2019.1577134</w:t>
      </w:r>
    </w:p>
    <w:p w14:paraId="3BD94403" w14:textId="10B80FFA" w:rsidR="09F661E1" w:rsidRPr="00765384" w:rsidRDefault="00BB6F8E" w:rsidP="00407E61">
      <w:pPr>
        <w:spacing w:before="120" w:after="120" w:line="276" w:lineRule="auto"/>
        <w:rPr>
          <w:rFonts w:asciiTheme="minorHAnsi" w:eastAsia="Calibri" w:hAnsiTheme="minorHAnsi" w:cstheme="minorHAnsi"/>
        </w:rPr>
      </w:pPr>
      <w:proofErr w:type="spellStart"/>
      <w:r w:rsidRPr="00765384">
        <w:rPr>
          <w:rFonts w:asciiTheme="minorHAnsi" w:eastAsia="Calibri" w:hAnsiTheme="minorHAnsi" w:cstheme="minorHAnsi"/>
        </w:rPr>
        <w:t>Healthdirect</w:t>
      </w:r>
      <w:proofErr w:type="spellEnd"/>
      <w:r w:rsidRPr="00765384">
        <w:rPr>
          <w:rFonts w:asciiTheme="minorHAnsi" w:eastAsia="Calibri" w:hAnsiTheme="minorHAnsi" w:cstheme="minorHAnsi"/>
        </w:rPr>
        <w:t xml:space="preserve"> Australia n.d. </w:t>
      </w:r>
      <w:hyperlink r:id="rId11" w:history="1">
        <w:r w:rsidRPr="00765384">
          <w:rPr>
            <w:rStyle w:val="Hyperlink"/>
            <w:rFonts w:asciiTheme="minorHAnsi" w:eastAsia="Calibri" w:hAnsiTheme="minorHAnsi" w:cstheme="minorHAnsi"/>
          </w:rPr>
          <w:t>Dysphagia (difficulty swallowing)</w:t>
        </w:r>
      </w:hyperlink>
      <w:r w:rsidRPr="00765384">
        <w:rPr>
          <w:rFonts w:asciiTheme="minorHAnsi" w:eastAsia="Calibri" w:hAnsiTheme="minorHAnsi" w:cstheme="minorHAnsi"/>
        </w:rPr>
        <w:t xml:space="preserve">. </w:t>
      </w:r>
    </w:p>
    <w:p w14:paraId="0D3F4C4E" w14:textId="08D1293E" w:rsidR="09F661E1" w:rsidRPr="00765384" w:rsidRDefault="09F661E1" w:rsidP="00407E61">
      <w:pPr>
        <w:pStyle w:val="Default"/>
        <w:spacing w:before="120" w:after="120" w:line="276" w:lineRule="auto"/>
        <w:rPr>
          <w:rFonts w:asciiTheme="minorHAnsi" w:eastAsia="Calibri" w:hAnsiTheme="minorHAnsi" w:cstheme="minorHAnsi"/>
          <w:color w:val="000000" w:themeColor="text1"/>
          <w:sz w:val="22"/>
          <w:szCs w:val="22"/>
        </w:rPr>
      </w:pPr>
      <w:proofErr w:type="spellStart"/>
      <w:r w:rsidRPr="0030095B">
        <w:rPr>
          <w:rFonts w:asciiTheme="minorHAnsi" w:eastAsia="Calibri" w:hAnsiTheme="minorHAnsi" w:cstheme="minorHAnsi"/>
          <w:color w:val="000000" w:themeColor="text1"/>
          <w:sz w:val="22"/>
          <w:szCs w:val="22"/>
          <w:lang w:val="fr-FR"/>
        </w:rPr>
        <w:t>Miarons</w:t>
      </w:r>
      <w:proofErr w:type="spellEnd"/>
      <w:r w:rsidRPr="0030095B">
        <w:rPr>
          <w:rFonts w:asciiTheme="minorHAnsi" w:eastAsia="Calibri" w:hAnsiTheme="minorHAnsi" w:cstheme="minorHAnsi"/>
          <w:color w:val="000000" w:themeColor="text1"/>
          <w:sz w:val="22"/>
          <w:szCs w:val="22"/>
          <w:lang w:val="fr-FR"/>
        </w:rPr>
        <w:t xml:space="preserve"> Font, M., &amp; </w:t>
      </w:r>
      <w:proofErr w:type="spellStart"/>
      <w:r w:rsidRPr="0030095B">
        <w:rPr>
          <w:rFonts w:asciiTheme="minorHAnsi" w:eastAsia="Calibri" w:hAnsiTheme="minorHAnsi" w:cstheme="minorHAnsi"/>
          <w:color w:val="000000" w:themeColor="text1"/>
          <w:sz w:val="22"/>
          <w:szCs w:val="22"/>
          <w:lang w:val="fr-FR"/>
        </w:rPr>
        <w:t>Rofes</w:t>
      </w:r>
      <w:proofErr w:type="spellEnd"/>
      <w:r w:rsidRPr="0030095B">
        <w:rPr>
          <w:rFonts w:asciiTheme="minorHAnsi" w:eastAsia="Calibri" w:hAnsiTheme="minorHAnsi" w:cstheme="minorHAnsi"/>
          <w:color w:val="000000" w:themeColor="text1"/>
          <w:sz w:val="22"/>
          <w:szCs w:val="22"/>
          <w:lang w:val="fr-FR"/>
        </w:rPr>
        <w:t xml:space="preserve"> </w:t>
      </w:r>
      <w:proofErr w:type="spellStart"/>
      <w:r w:rsidRPr="0030095B">
        <w:rPr>
          <w:rFonts w:asciiTheme="minorHAnsi" w:eastAsia="Calibri" w:hAnsiTheme="minorHAnsi" w:cstheme="minorHAnsi"/>
          <w:color w:val="000000" w:themeColor="text1"/>
          <w:sz w:val="22"/>
          <w:szCs w:val="22"/>
          <w:lang w:val="fr-FR"/>
        </w:rPr>
        <w:t>Salsench</w:t>
      </w:r>
      <w:proofErr w:type="spellEnd"/>
      <w:r w:rsidRPr="0030095B">
        <w:rPr>
          <w:rFonts w:asciiTheme="minorHAnsi" w:eastAsia="Calibri" w:hAnsiTheme="minorHAnsi" w:cstheme="minorHAnsi"/>
          <w:color w:val="000000" w:themeColor="text1"/>
          <w:sz w:val="22"/>
          <w:szCs w:val="22"/>
          <w:lang w:val="fr-FR"/>
        </w:rPr>
        <w:t xml:space="preserve">, L. (2017). </w:t>
      </w:r>
      <w:r w:rsidRPr="00765384">
        <w:rPr>
          <w:rFonts w:asciiTheme="minorHAnsi" w:eastAsia="Calibri" w:hAnsiTheme="minorHAnsi" w:cstheme="minorHAnsi"/>
          <w:color w:val="000000" w:themeColor="text1"/>
          <w:sz w:val="22"/>
          <w:szCs w:val="22"/>
        </w:rPr>
        <w:t xml:space="preserve">Antipsychotic medication and oropharyngeal dysphagia: Systematic review. European Journal of Gastroenterology and Hepatology, 29(12), 1332–1339. </w:t>
      </w:r>
      <w:proofErr w:type="spellStart"/>
      <w:r w:rsidRPr="00765384">
        <w:rPr>
          <w:rFonts w:asciiTheme="minorHAnsi" w:eastAsia="Calibri" w:hAnsiTheme="minorHAnsi" w:cstheme="minorHAnsi"/>
          <w:color w:val="000000" w:themeColor="text1"/>
          <w:sz w:val="22"/>
          <w:szCs w:val="22"/>
        </w:rPr>
        <w:t>doi</w:t>
      </w:r>
      <w:proofErr w:type="spellEnd"/>
      <w:r w:rsidRPr="00765384">
        <w:rPr>
          <w:rFonts w:asciiTheme="minorHAnsi" w:eastAsia="Calibri" w:hAnsiTheme="minorHAnsi" w:cstheme="minorHAnsi"/>
          <w:color w:val="000000" w:themeColor="text1"/>
          <w:sz w:val="22"/>
          <w:szCs w:val="22"/>
        </w:rPr>
        <w:t>: 10.1097/MEG.0000000000000983</w:t>
      </w:r>
    </w:p>
    <w:p w14:paraId="2195CB71" w14:textId="0049AB50" w:rsidR="00BB6F8E" w:rsidRPr="00765384" w:rsidRDefault="00BB6F8E" w:rsidP="00407E61">
      <w:pPr>
        <w:spacing w:before="120" w:after="120" w:line="276" w:lineRule="auto"/>
        <w:rPr>
          <w:rFonts w:asciiTheme="minorHAnsi" w:eastAsiaTheme="minorEastAsia" w:hAnsiTheme="minorHAnsi" w:cstheme="minorHAnsi"/>
        </w:rPr>
      </w:pPr>
      <w:r w:rsidRPr="00765384">
        <w:rPr>
          <w:rFonts w:asciiTheme="minorHAnsi" w:hAnsiTheme="minorHAnsi" w:cstheme="minorHAnsi"/>
        </w:rPr>
        <w:t xml:space="preserve">National Institute for Health and Clinical Excellence. Clinical guideline 32: </w:t>
      </w:r>
      <w:hyperlink r:id="rId12" w:anchor="oral-nutrition-support-in-hospital-and-the-community" w:history="1">
        <w:r w:rsidRPr="00765384">
          <w:rPr>
            <w:rStyle w:val="Hyperlink"/>
            <w:rFonts w:asciiTheme="minorHAnsi" w:hAnsiTheme="minorHAnsi" w:cstheme="minorHAnsi"/>
            <w:i/>
            <w:iCs/>
          </w:rPr>
          <w:t>Nutrition support in adults</w:t>
        </w:r>
        <w:r w:rsidRPr="00765384">
          <w:rPr>
            <w:rStyle w:val="Hyperlink"/>
            <w:rFonts w:asciiTheme="minorHAnsi" w:hAnsiTheme="minorHAnsi" w:cstheme="minorHAnsi"/>
            <w:i/>
          </w:rPr>
          <w:t>: oral nutrition support, enteral tube feeding and parenteral nutrition</w:t>
        </w:r>
      </w:hyperlink>
      <w:r w:rsidRPr="00765384">
        <w:rPr>
          <w:rFonts w:asciiTheme="minorHAnsi" w:hAnsiTheme="minorHAnsi" w:cstheme="minorHAnsi"/>
          <w:i/>
          <w:iCs/>
        </w:rPr>
        <w:t xml:space="preserve">. </w:t>
      </w:r>
      <w:r w:rsidRPr="00765384">
        <w:rPr>
          <w:rFonts w:asciiTheme="minorHAnsi" w:hAnsiTheme="minorHAnsi" w:cstheme="minorHAnsi"/>
        </w:rPr>
        <w:t xml:space="preserve">London: NICE, February 2006. </w:t>
      </w:r>
      <w:r w:rsidRPr="00765384">
        <w:rPr>
          <w:rStyle w:val="published-date4"/>
          <w:rFonts w:asciiTheme="minorHAnsi" w:hAnsiTheme="minorHAnsi" w:cstheme="minorHAnsi"/>
          <w:color w:val="0E0E0E"/>
        </w:rPr>
        <w:t>Last updated: 04 August 2017</w:t>
      </w:r>
      <w:r w:rsidRPr="00765384">
        <w:rPr>
          <w:rFonts w:asciiTheme="minorHAnsi" w:hAnsiTheme="minorHAnsi" w:cstheme="minorHAnsi"/>
        </w:rPr>
        <w:t xml:space="preserve"> </w:t>
      </w:r>
    </w:p>
    <w:p w14:paraId="3367D2CA" w14:textId="253DC619" w:rsidR="009D621F" w:rsidRPr="00765384" w:rsidRDefault="009D621F" w:rsidP="00407E61">
      <w:pPr>
        <w:spacing w:before="120" w:after="120" w:line="276" w:lineRule="auto"/>
        <w:jc w:val="both"/>
        <w:rPr>
          <w:rFonts w:asciiTheme="minorHAnsi" w:eastAsiaTheme="minorEastAsia" w:hAnsiTheme="minorHAnsi" w:cstheme="minorHAnsi"/>
        </w:rPr>
      </w:pPr>
      <w:r w:rsidRPr="00765384">
        <w:rPr>
          <w:rFonts w:asciiTheme="minorHAnsi" w:hAnsiTheme="minorHAnsi" w:cstheme="minorHAnsi"/>
        </w:rPr>
        <w:t xml:space="preserve">NDIS Quality &amp; Safeguards Commission. (2018). </w:t>
      </w:r>
      <w:hyperlink r:id="rId13" w:history="1">
        <w:r w:rsidRPr="00765384">
          <w:rPr>
            <w:rStyle w:val="Hyperlink"/>
            <w:rFonts w:asciiTheme="minorHAnsi" w:hAnsiTheme="minorHAnsi" w:cstheme="minorHAnsi"/>
            <w:i/>
          </w:rPr>
          <w:t>Fact sheet: NDIS Practice Standards: skills descriptors (High Intensity Skills Descriptors)</w:t>
        </w:r>
      </w:hyperlink>
      <w:r w:rsidRPr="00765384">
        <w:rPr>
          <w:rFonts w:asciiTheme="minorHAnsi" w:hAnsiTheme="minorHAnsi" w:cstheme="minorHAnsi"/>
        </w:rPr>
        <w:t xml:space="preserve">. </w:t>
      </w:r>
    </w:p>
    <w:p w14:paraId="4934FE22" w14:textId="77777777" w:rsidR="00BB6F8E" w:rsidRPr="00765384" w:rsidRDefault="00BB6F8E" w:rsidP="00407E61">
      <w:pPr>
        <w:spacing w:before="120" w:after="120" w:line="276" w:lineRule="auto"/>
        <w:jc w:val="both"/>
        <w:rPr>
          <w:rFonts w:asciiTheme="minorHAnsi" w:hAnsiTheme="minorHAnsi" w:cstheme="minorHAnsi"/>
        </w:rPr>
      </w:pPr>
      <w:r w:rsidRPr="00765384">
        <w:rPr>
          <w:rFonts w:asciiTheme="minorHAnsi" w:eastAsia="Calibri" w:hAnsiTheme="minorHAnsi" w:cstheme="minorHAnsi"/>
        </w:rPr>
        <w:t>O'Leary, L., Cooper, S. A., &amp; Hughes‐McCormack, L. (2018). Early death and causes of death of people with intellectual disabilities: A systematic review. Journal of Applied Research in Intellectual Disabilities, 31(3), 325-342.</w:t>
      </w:r>
    </w:p>
    <w:p w14:paraId="3C177675" w14:textId="16D645D7" w:rsidR="00BB6F8E" w:rsidRPr="00765384" w:rsidRDefault="00BB6F8E" w:rsidP="00407E61">
      <w:pPr>
        <w:spacing w:before="120" w:after="120" w:line="276" w:lineRule="auto"/>
        <w:rPr>
          <w:rFonts w:asciiTheme="minorHAnsi" w:hAnsiTheme="minorHAnsi" w:cstheme="minorHAnsi"/>
        </w:rPr>
      </w:pPr>
      <w:r w:rsidRPr="00765384">
        <w:rPr>
          <w:rFonts w:asciiTheme="minorHAnsi" w:hAnsiTheme="minorHAnsi" w:cstheme="minorHAnsi"/>
        </w:rPr>
        <w:t xml:space="preserve">Robertson, J., Chadwick, D., Baines, S., Emerson, E., &amp; Hatton, C. (2018). People with intellectual disabilities and dysphagia. </w:t>
      </w:r>
      <w:r w:rsidRPr="00765384">
        <w:rPr>
          <w:rFonts w:asciiTheme="minorHAnsi" w:hAnsiTheme="minorHAnsi" w:cstheme="minorHAnsi"/>
          <w:i/>
          <w:iCs/>
        </w:rPr>
        <w:t>Disability and rehabilitation</w:t>
      </w:r>
      <w:r w:rsidRPr="00765384">
        <w:rPr>
          <w:rFonts w:asciiTheme="minorHAnsi" w:hAnsiTheme="minorHAnsi" w:cstheme="minorHAnsi"/>
        </w:rPr>
        <w:t xml:space="preserve">, </w:t>
      </w:r>
      <w:r w:rsidRPr="00765384">
        <w:rPr>
          <w:rFonts w:asciiTheme="minorHAnsi" w:hAnsiTheme="minorHAnsi" w:cstheme="minorHAnsi"/>
          <w:i/>
          <w:iCs/>
        </w:rPr>
        <w:t>40</w:t>
      </w:r>
      <w:r w:rsidRPr="00765384">
        <w:rPr>
          <w:rFonts w:asciiTheme="minorHAnsi" w:hAnsiTheme="minorHAnsi" w:cstheme="minorHAnsi"/>
        </w:rPr>
        <w:t>(11), 1345-1360.</w:t>
      </w:r>
    </w:p>
    <w:p w14:paraId="26A027AE" w14:textId="566A472D" w:rsidR="00BB6F8E" w:rsidRPr="00765384" w:rsidRDefault="00BB6F8E" w:rsidP="00407E61">
      <w:pPr>
        <w:spacing w:before="120" w:after="120" w:line="276" w:lineRule="auto"/>
        <w:rPr>
          <w:rFonts w:asciiTheme="minorHAnsi" w:hAnsiTheme="minorHAnsi" w:cstheme="minorHAnsi"/>
        </w:rPr>
      </w:pPr>
      <w:r w:rsidRPr="00765384">
        <w:rPr>
          <w:rFonts w:asciiTheme="minorHAnsi" w:hAnsiTheme="minorHAnsi" w:cstheme="minorHAnsi"/>
        </w:rPr>
        <w:t xml:space="preserve">Robertson, J., Chadwick, D., Baines, S., Emerson, E., &amp; Hatton, C. (2017). Prevalence of dysphagia in people with intellectual disability: a systematic review. </w:t>
      </w:r>
      <w:r w:rsidRPr="00765384">
        <w:rPr>
          <w:rFonts w:asciiTheme="minorHAnsi" w:hAnsiTheme="minorHAnsi" w:cstheme="minorHAnsi"/>
          <w:i/>
          <w:iCs/>
        </w:rPr>
        <w:t>Intellectual and developmental disabilities</w:t>
      </w:r>
      <w:r w:rsidRPr="00765384">
        <w:rPr>
          <w:rFonts w:asciiTheme="minorHAnsi" w:hAnsiTheme="minorHAnsi" w:cstheme="minorHAnsi"/>
        </w:rPr>
        <w:t xml:space="preserve">, </w:t>
      </w:r>
      <w:r w:rsidRPr="00765384">
        <w:rPr>
          <w:rFonts w:asciiTheme="minorHAnsi" w:hAnsiTheme="minorHAnsi" w:cstheme="minorHAnsi"/>
          <w:i/>
          <w:iCs/>
        </w:rPr>
        <w:t>55</w:t>
      </w:r>
      <w:r w:rsidRPr="00765384">
        <w:rPr>
          <w:rFonts w:asciiTheme="minorHAnsi" w:hAnsiTheme="minorHAnsi" w:cstheme="minorHAnsi"/>
        </w:rPr>
        <w:t>(6), 377-391.</w:t>
      </w:r>
    </w:p>
    <w:p w14:paraId="16217B8A" w14:textId="2CB7683A" w:rsidR="004B2FB5" w:rsidRPr="00765384" w:rsidRDefault="004B2FB5" w:rsidP="00407E61">
      <w:pPr>
        <w:spacing w:before="120" w:after="120" w:line="276" w:lineRule="auto"/>
        <w:jc w:val="both"/>
        <w:rPr>
          <w:rFonts w:asciiTheme="minorHAnsi" w:eastAsiaTheme="minorEastAsia" w:hAnsiTheme="minorHAnsi" w:cstheme="minorHAnsi"/>
        </w:rPr>
      </w:pPr>
      <w:r w:rsidRPr="00765384">
        <w:rPr>
          <w:rFonts w:asciiTheme="minorHAnsi" w:eastAsiaTheme="minorEastAsia" w:hAnsiTheme="minorHAnsi" w:cstheme="minorHAnsi"/>
        </w:rPr>
        <w:t xml:space="preserve">The Speech Pathology Association of Australia. 2012. </w:t>
      </w:r>
      <w:hyperlink r:id="rId14" w:history="1">
        <w:r w:rsidRPr="00765384">
          <w:rPr>
            <w:rStyle w:val="Hyperlink"/>
            <w:rFonts w:asciiTheme="minorHAnsi" w:eastAsiaTheme="minorEastAsia" w:hAnsiTheme="minorHAnsi" w:cstheme="minorHAnsi"/>
          </w:rPr>
          <w:t>Dysphagia Clinical Guideline</w:t>
        </w:r>
      </w:hyperlink>
      <w:r w:rsidRPr="00765384">
        <w:rPr>
          <w:rFonts w:asciiTheme="minorHAnsi" w:eastAsiaTheme="minorEastAsia" w:hAnsiTheme="minorHAnsi" w:cstheme="minorHAnsi"/>
        </w:rPr>
        <w:t>.</w:t>
      </w:r>
    </w:p>
    <w:p w14:paraId="056E3392" w14:textId="19ECCE9D" w:rsidR="004B2FB5" w:rsidRPr="00765384" w:rsidRDefault="004B2FB5" w:rsidP="00407E61">
      <w:pPr>
        <w:spacing w:before="120" w:after="120" w:line="276" w:lineRule="auto"/>
        <w:jc w:val="both"/>
        <w:rPr>
          <w:rFonts w:asciiTheme="minorHAnsi" w:eastAsiaTheme="minorEastAsia" w:hAnsiTheme="minorHAnsi" w:cstheme="minorHAnsi"/>
        </w:rPr>
      </w:pPr>
      <w:r w:rsidRPr="00765384">
        <w:rPr>
          <w:rFonts w:asciiTheme="minorHAnsi" w:eastAsiaTheme="minorEastAsia" w:hAnsiTheme="minorHAnsi" w:cstheme="minorHAnsi"/>
        </w:rPr>
        <w:t xml:space="preserve">The Speech Pathology Association of Australia. n.d. </w:t>
      </w:r>
      <w:hyperlink r:id="rId15" w:history="1">
        <w:r w:rsidRPr="00765384">
          <w:rPr>
            <w:rStyle w:val="Hyperlink"/>
            <w:rFonts w:asciiTheme="minorHAnsi" w:eastAsiaTheme="minorEastAsia" w:hAnsiTheme="minorHAnsi" w:cstheme="minorHAnsi"/>
          </w:rPr>
          <w:t>Swallowing (fact sheet)</w:t>
        </w:r>
      </w:hyperlink>
    </w:p>
    <w:p w14:paraId="02A5AFEE" w14:textId="7F9F3910" w:rsidR="60A81920" w:rsidRPr="00765384" w:rsidRDefault="00AC08C8" w:rsidP="00407E61">
      <w:pPr>
        <w:spacing w:before="120" w:after="120" w:line="276" w:lineRule="auto"/>
        <w:jc w:val="both"/>
        <w:rPr>
          <w:rFonts w:asciiTheme="minorHAnsi" w:eastAsia="Arial" w:hAnsiTheme="minorHAnsi" w:cstheme="minorHAnsi"/>
          <w:color w:val="222222"/>
        </w:rPr>
      </w:pPr>
      <w:proofErr w:type="spellStart"/>
      <w:r w:rsidRPr="00765384">
        <w:rPr>
          <w:rFonts w:asciiTheme="minorHAnsi" w:hAnsiTheme="minorHAnsi" w:cstheme="minorHAnsi"/>
        </w:rPr>
        <w:lastRenderedPageBreak/>
        <w:t>Trollor</w:t>
      </w:r>
      <w:proofErr w:type="spellEnd"/>
      <w:r w:rsidRPr="00765384">
        <w:rPr>
          <w:rFonts w:asciiTheme="minorHAnsi" w:hAnsiTheme="minorHAnsi" w:cstheme="minorHAnsi"/>
        </w:rPr>
        <w:t xml:space="preserve">, J. &amp; Salomon, C. (2019). </w:t>
      </w:r>
      <w:hyperlink r:id="rId16" w:history="1">
        <w:r w:rsidRPr="00765384">
          <w:rPr>
            <w:rStyle w:val="Hyperlink"/>
            <w:rFonts w:asciiTheme="minorHAnsi" w:hAnsiTheme="minorHAnsi" w:cstheme="minorHAnsi"/>
            <w:i/>
          </w:rPr>
          <w:t>A scoping review of causes and contributors to deaths of people with disability in Australia: Findings</w:t>
        </w:r>
      </w:hyperlink>
      <w:r w:rsidRPr="00765384">
        <w:rPr>
          <w:rFonts w:asciiTheme="minorHAnsi" w:hAnsiTheme="minorHAnsi" w:cstheme="minorHAnsi"/>
          <w:i/>
        </w:rPr>
        <w:t>.</w:t>
      </w:r>
      <w:r w:rsidRPr="00765384">
        <w:rPr>
          <w:rFonts w:asciiTheme="minorHAnsi" w:hAnsiTheme="minorHAnsi" w:cstheme="minorHAnsi"/>
        </w:rPr>
        <w:t xml:space="preserve"> Faculty of Medicine, The Department of Developmental Disability Neuropsychiatry 3DN.</w:t>
      </w:r>
      <w:r w:rsidRPr="00765384">
        <w:rPr>
          <w:rFonts w:asciiTheme="minorHAnsi" w:hAnsiTheme="minorHAnsi" w:cstheme="minorHAnsi"/>
          <w:b/>
        </w:rPr>
        <w:t xml:space="preserve"> </w:t>
      </w:r>
    </w:p>
    <w:p w14:paraId="683E0427" w14:textId="6B28D55D" w:rsidR="00BB6F8E" w:rsidRPr="00765384" w:rsidRDefault="00BB6F8E" w:rsidP="00407E61">
      <w:pPr>
        <w:spacing w:before="120" w:after="120" w:line="276" w:lineRule="auto"/>
        <w:rPr>
          <w:rFonts w:asciiTheme="minorHAnsi" w:hAnsiTheme="minorHAnsi" w:cstheme="minorHAnsi"/>
        </w:rPr>
      </w:pPr>
      <w:proofErr w:type="spellStart"/>
      <w:r w:rsidRPr="00765384">
        <w:rPr>
          <w:rFonts w:asciiTheme="minorHAnsi" w:hAnsiTheme="minorHAnsi" w:cstheme="minorHAnsi"/>
        </w:rPr>
        <w:t>Trollor</w:t>
      </w:r>
      <w:proofErr w:type="spellEnd"/>
      <w:r w:rsidRPr="00765384">
        <w:rPr>
          <w:rFonts w:asciiTheme="minorHAnsi" w:hAnsiTheme="minorHAnsi" w:cstheme="minorHAnsi"/>
        </w:rPr>
        <w:t xml:space="preserve">, J., </w:t>
      </w:r>
      <w:proofErr w:type="spellStart"/>
      <w:r w:rsidRPr="00765384">
        <w:rPr>
          <w:rFonts w:asciiTheme="minorHAnsi" w:hAnsiTheme="minorHAnsi" w:cstheme="minorHAnsi"/>
        </w:rPr>
        <w:t>Srasuebkul</w:t>
      </w:r>
      <w:proofErr w:type="spellEnd"/>
      <w:r w:rsidRPr="00765384">
        <w:rPr>
          <w:rFonts w:asciiTheme="minorHAnsi" w:hAnsiTheme="minorHAnsi" w:cstheme="minorHAnsi"/>
        </w:rPr>
        <w:t>, P., Xu, H., &amp; Howlett, S. (2017). Cause of death and potentially avoidable deaths in Australian adults with intellectual disability using retrospective linked data. BMJ Open, 7(2), e013489.</w:t>
      </w:r>
    </w:p>
    <w:p w14:paraId="57670FB0" w14:textId="7FB3E638" w:rsidR="00BB6F8E" w:rsidRPr="00765384" w:rsidRDefault="00BB6F8E" w:rsidP="00407E61">
      <w:pPr>
        <w:spacing w:before="120" w:after="120" w:line="276" w:lineRule="auto"/>
        <w:jc w:val="both"/>
        <w:rPr>
          <w:rFonts w:asciiTheme="minorHAnsi" w:eastAsia="Arial" w:hAnsiTheme="minorHAnsi" w:cstheme="minorHAnsi"/>
          <w:color w:val="222222"/>
        </w:rPr>
      </w:pPr>
      <w:r w:rsidRPr="00765384">
        <w:rPr>
          <w:rFonts w:asciiTheme="minorHAnsi" w:eastAsia="Arial" w:hAnsiTheme="minorHAnsi" w:cstheme="minorHAnsi"/>
          <w:color w:val="222222"/>
        </w:rPr>
        <w:t xml:space="preserve">Royal College of Speech &amp; Language Therapists n.d. </w:t>
      </w:r>
      <w:hyperlink r:id="rId17" w:history="1">
        <w:r w:rsidRPr="00765384">
          <w:rPr>
            <w:rStyle w:val="Hyperlink"/>
            <w:rFonts w:asciiTheme="minorHAnsi" w:eastAsia="Arial" w:hAnsiTheme="minorHAnsi" w:cstheme="minorHAnsi"/>
            <w:i/>
            <w:iCs/>
          </w:rPr>
          <w:t>Dysphagia Overview</w:t>
        </w:r>
      </w:hyperlink>
    </w:p>
    <w:p w14:paraId="5B86541F" w14:textId="2CC252A8" w:rsidR="00C73ACC" w:rsidRPr="00765384" w:rsidRDefault="00C73ACC" w:rsidP="00407E61">
      <w:pPr>
        <w:spacing w:before="120" w:after="120" w:line="276" w:lineRule="auto"/>
        <w:jc w:val="both"/>
        <w:rPr>
          <w:rFonts w:asciiTheme="minorHAnsi" w:eastAsia="Arial" w:hAnsiTheme="minorHAnsi" w:cstheme="minorHAnsi"/>
          <w:color w:val="222222"/>
        </w:rPr>
      </w:pPr>
      <w:r w:rsidRPr="00765384">
        <w:rPr>
          <w:rFonts w:asciiTheme="minorHAnsi" w:eastAsia="Arial" w:hAnsiTheme="minorHAnsi" w:cstheme="minorHAnsi"/>
          <w:color w:val="222222"/>
        </w:rPr>
        <w:t xml:space="preserve">Royal College of Speech &amp; Language Therapists. (2019). </w:t>
      </w:r>
      <w:hyperlink r:id="rId18" w:history="1">
        <w:r w:rsidRPr="00765384">
          <w:rPr>
            <w:rStyle w:val="Hyperlink"/>
            <w:rFonts w:asciiTheme="minorHAnsi" w:eastAsia="Arial" w:hAnsiTheme="minorHAnsi" w:cstheme="minorHAnsi"/>
            <w:i/>
            <w:iCs/>
          </w:rPr>
          <w:t>Dysphagia Guidance</w:t>
        </w:r>
      </w:hyperlink>
    </w:p>
    <w:p w14:paraId="585C148E" w14:textId="37F09534" w:rsidR="00AC08C8" w:rsidRPr="00765384" w:rsidRDefault="00AC08C8" w:rsidP="00407E61">
      <w:pPr>
        <w:spacing w:before="120" w:after="120" w:line="276" w:lineRule="auto"/>
        <w:jc w:val="both"/>
        <w:rPr>
          <w:rFonts w:asciiTheme="minorHAnsi" w:hAnsiTheme="minorHAnsi" w:cstheme="minorHAnsi"/>
          <w:i/>
        </w:rPr>
      </w:pPr>
      <w:r w:rsidRPr="00765384">
        <w:rPr>
          <w:rFonts w:asciiTheme="minorHAnsi" w:hAnsiTheme="minorHAnsi" w:cstheme="minorHAnsi"/>
        </w:rPr>
        <w:t xml:space="preserve">World Health Organisation (2019). </w:t>
      </w:r>
      <w:hyperlink r:id="rId19" w:history="1">
        <w:r w:rsidRPr="00765384">
          <w:rPr>
            <w:rStyle w:val="Hyperlink"/>
            <w:rFonts w:asciiTheme="minorHAnsi" w:hAnsiTheme="minorHAnsi" w:cstheme="minorHAnsi"/>
            <w:i/>
          </w:rPr>
          <w:t>Medication Safety in Transitions of Care</w:t>
        </w:r>
      </w:hyperlink>
      <w:r w:rsidRPr="00765384">
        <w:rPr>
          <w:rFonts w:asciiTheme="minorHAnsi" w:hAnsiTheme="minorHAnsi" w:cstheme="minorHAnsi"/>
          <w:i/>
        </w:rPr>
        <w:t xml:space="preserve">. </w:t>
      </w:r>
    </w:p>
    <w:p w14:paraId="47EE4BE5" w14:textId="2398AC42" w:rsidR="00606B46" w:rsidRPr="00765384" w:rsidRDefault="00606B46" w:rsidP="00407E61">
      <w:pPr>
        <w:spacing w:before="120" w:after="120" w:line="276" w:lineRule="auto"/>
        <w:jc w:val="both"/>
        <w:rPr>
          <w:rFonts w:asciiTheme="minorHAnsi" w:hAnsiTheme="minorHAnsi" w:cstheme="minorHAnsi"/>
          <w:color w:val="000000" w:themeColor="text1"/>
        </w:rPr>
      </w:pPr>
      <w:r w:rsidRPr="00765384">
        <w:rPr>
          <w:rFonts w:asciiTheme="minorHAnsi" w:hAnsiTheme="minorHAnsi" w:cstheme="minorHAnsi"/>
        </w:rPr>
        <w:t xml:space="preserve">International Classification of Diseases, 11th Revision (ICD-11) (2018). </w:t>
      </w:r>
      <w:hyperlink r:id="rId20" w:anchor="/http://id.who.int/icd/entity/968461848" w:history="1">
        <w:r w:rsidRPr="00765384">
          <w:rPr>
            <w:rStyle w:val="Hyperlink"/>
            <w:rFonts w:asciiTheme="minorHAnsi" w:hAnsiTheme="minorHAnsi" w:cstheme="minorHAnsi"/>
          </w:rPr>
          <w:t>ICD-11 for Mortality and Morbidity Statistics</w:t>
        </w:r>
      </w:hyperlink>
      <w:r w:rsidRPr="00765384">
        <w:rPr>
          <w:rFonts w:asciiTheme="minorHAnsi" w:hAnsiTheme="minorHAnsi" w:cstheme="minorHAnsi"/>
        </w:rPr>
        <w:t xml:space="preserve">. </w:t>
      </w:r>
    </w:p>
    <w:p w14:paraId="22BEAA48" w14:textId="77777777" w:rsidR="00000034" w:rsidRPr="00765384" w:rsidRDefault="00000034" w:rsidP="009359E9">
      <w:pPr>
        <w:pStyle w:val="Heading1"/>
        <w:pBdr>
          <w:top w:val="single" w:sz="36" w:space="1" w:color="5F2E74" w:themeColor="accent1"/>
        </w:pBdr>
        <w:rPr>
          <w:rFonts w:eastAsia="Calibri" w:cs="Calibri"/>
        </w:rPr>
      </w:pPr>
      <w:r w:rsidRPr="00765384">
        <w:t>General enquiries</w:t>
      </w:r>
    </w:p>
    <w:p w14:paraId="0797524B" w14:textId="05D87687" w:rsidR="00000034" w:rsidRPr="00765384" w:rsidRDefault="00000034" w:rsidP="005D05FF">
      <w:pPr>
        <w:pStyle w:val="Body"/>
        <w:spacing w:after="120" w:line="276" w:lineRule="auto"/>
        <w:ind w:right="-34"/>
        <w:rPr>
          <w:sz w:val="22"/>
          <w:szCs w:val="22"/>
          <w:lang w:val="en-AU"/>
        </w:rPr>
      </w:pPr>
      <w:r w:rsidRPr="00765384">
        <w:rPr>
          <w:b/>
          <w:bCs/>
          <w:color w:val="auto"/>
          <w:sz w:val="22"/>
          <w:szCs w:val="22"/>
          <w:lang w:val="en-AU"/>
        </w:rPr>
        <w:t xml:space="preserve">Call: 1800 035 544 </w:t>
      </w:r>
      <w:r w:rsidRPr="00765384">
        <w:rPr>
          <w:sz w:val="22"/>
          <w:szCs w:val="22"/>
          <w:lang w:val="en-AU"/>
        </w:rPr>
        <w:t xml:space="preserve">(free call from landlines). Our contact centre is open 9.00am to 4.30pm in the NT, </w:t>
      </w:r>
      <w:r w:rsidR="005D05FF" w:rsidRPr="00765384">
        <w:rPr>
          <w:sz w:val="22"/>
          <w:szCs w:val="22"/>
          <w:lang w:val="en-AU"/>
        </w:rPr>
        <w:t xml:space="preserve">and </w:t>
      </w:r>
      <w:r w:rsidRPr="00765384">
        <w:rPr>
          <w:sz w:val="22"/>
          <w:szCs w:val="22"/>
          <w:lang w:val="en-AU"/>
        </w:rPr>
        <w:t xml:space="preserve">9.00am to 5.00pm in </w:t>
      </w:r>
      <w:r w:rsidR="005D05FF" w:rsidRPr="00765384">
        <w:rPr>
          <w:sz w:val="22"/>
          <w:szCs w:val="22"/>
          <w:lang w:val="en-AU"/>
        </w:rPr>
        <w:t>other states and territories</w:t>
      </w:r>
      <w:r w:rsidRPr="00765384">
        <w:rPr>
          <w:sz w:val="22"/>
          <w:szCs w:val="22"/>
          <w:lang w:val="en-AU"/>
        </w:rPr>
        <w:t xml:space="preserve"> Monday to Friday, excluding public holidays. </w:t>
      </w:r>
    </w:p>
    <w:p w14:paraId="533CBB52" w14:textId="77777777" w:rsidR="00000034" w:rsidRPr="00765384" w:rsidRDefault="00000034" w:rsidP="00E0370F">
      <w:pPr>
        <w:pStyle w:val="Body"/>
        <w:spacing w:after="120" w:line="276" w:lineRule="auto"/>
        <w:ind w:right="-34"/>
        <w:jc w:val="both"/>
        <w:rPr>
          <w:sz w:val="22"/>
          <w:szCs w:val="22"/>
          <w:lang w:val="en-AU"/>
        </w:rPr>
      </w:pPr>
      <w:r w:rsidRPr="00765384">
        <w:rPr>
          <w:b/>
          <w:sz w:val="22"/>
          <w:szCs w:val="22"/>
          <w:lang w:val="en-AU"/>
        </w:rPr>
        <w:t>Email</w:t>
      </w:r>
      <w:r w:rsidRPr="00765384">
        <w:rPr>
          <w:sz w:val="22"/>
          <w:szCs w:val="22"/>
          <w:lang w:val="en-AU"/>
        </w:rPr>
        <w:t xml:space="preserve">: </w:t>
      </w:r>
      <w:hyperlink r:id="rId21" w:history="1">
        <w:r w:rsidRPr="00765384">
          <w:rPr>
            <w:rStyle w:val="Hyperlink"/>
            <w:sz w:val="22"/>
            <w:szCs w:val="22"/>
            <w:lang w:val="en-AU"/>
          </w:rPr>
          <w:t>contactcentre@ndiscommission.gov.au</w:t>
        </w:r>
      </w:hyperlink>
      <w:r w:rsidRPr="00765384">
        <w:rPr>
          <w:sz w:val="22"/>
          <w:szCs w:val="22"/>
          <w:lang w:val="en-AU"/>
        </w:rPr>
        <w:t xml:space="preserve"> </w:t>
      </w:r>
    </w:p>
    <w:p w14:paraId="4DE5051B" w14:textId="030C47A4" w:rsidR="00606B46" w:rsidRPr="00765384" w:rsidRDefault="00000034" w:rsidP="00E0370F">
      <w:pPr>
        <w:pStyle w:val="Body"/>
        <w:spacing w:after="120" w:line="276" w:lineRule="auto"/>
        <w:ind w:right="-34"/>
        <w:jc w:val="both"/>
        <w:rPr>
          <w:lang w:val="en-AU"/>
        </w:rPr>
      </w:pPr>
      <w:r w:rsidRPr="00765384">
        <w:rPr>
          <w:b/>
          <w:sz w:val="22"/>
          <w:szCs w:val="22"/>
          <w:lang w:val="en-AU"/>
        </w:rPr>
        <w:t>Website</w:t>
      </w:r>
      <w:r w:rsidRPr="00765384">
        <w:rPr>
          <w:sz w:val="22"/>
          <w:szCs w:val="22"/>
          <w:lang w:val="en-AU"/>
        </w:rPr>
        <w:t xml:space="preserve">: </w:t>
      </w:r>
      <w:hyperlink r:id="rId22" w:history="1">
        <w:r w:rsidRPr="00765384">
          <w:rPr>
            <w:rStyle w:val="Hyperlink"/>
            <w:sz w:val="22"/>
            <w:szCs w:val="22"/>
            <w:lang w:val="en-AU"/>
          </w:rPr>
          <w:t>www.ndiscommission.gov.au</w:t>
        </w:r>
      </w:hyperlink>
    </w:p>
    <w:sectPr w:rsidR="00606B46" w:rsidRPr="00765384" w:rsidSect="00362AB6">
      <w:headerReference w:type="default" r:id="rId23"/>
      <w:footerReference w:type="default" r:id="rId24"/>
      <w:headerReference w:type="first" r:id="rId25"/>
      <w:footerReference w:type="first" r:id="rId26"/>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5FF3C" w14:textId="77777777" w:rsidR="00951325" w:rsidRDefault="00951325" w:rsidP="008E21DE">
      <w:r>
        <w:separator/>
      </w:r>
    </w:p>
  </w:endnote>
  <w:endnote w:type="continuationSeparator" w:id="0">
    <w:p w14:paraId="13AF158C" w14:textId="77777777" w:rsidR="00951325" w:rsidRDefault="00951325"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CB1E" w14:textId="15C2CB39" w:rsidR="00000A69" w:rsidRDefault="00000A69" w:rsidP="00362AB6">
    <w:pPr>
      <w:pStyle w:val="Footer"/>
    </w:pPr>
  </w:p>
  <w:p w14:paraId="54F82E37" w14:textId="23A8746A" w:rsidR="00000A69" w:rsidRPr="00080615" w:rsidRDefault="009359E9" w:rsidP="009359E9">
    <w:pPr>
      <w:pStyle w:val="Footer"/>
      <w:pBdr>
        <w:top w:val="single" w:sz="4" w:space="1" w:color="auto"/>
      </w:pBdr>
      <w:jc w:val="both"/>
    </w:pPr>
    <w:r>
      <w:t>Practice Alert: Dysphagia, safe swallowing and mealtime management</w:t>
    </w:r>
    <w:r w:rsidR="00000A69">
      <w:tab/>
    </w:r>
    <w:r>
      <w:t xml:space="preserve">Page </w:t>
    </w:r>
    <w:r w:rsidR="00000A69">
      <w:fldChar w:fldCharType="begin"/>
    </w:r>
    <w:r w:rsidR="00000A69">
      <w:instrText xml:space="preserve"> PAGE   \* MERGEFORMAT </w:instrText>
    </w:r>
    <w:r w:rsidR="00000A69">
      <w:fldChar w:fldCharType="separate"/>
    </w:r>
    <w:r w:rsidR="00477A13">
      <w:rPr>
        <w:noProof/>
      </w:rPr>
      <w:t>5</w:t>
    </w:r>
    <w:r w:rsidR="00000A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6DE7" w14:textId="1EAC0182" w:rsidR="00000A69" w:rsidRDefault="00000A69" w:rsidP="00715CAE">
    <w:pPr>
      <w:pStyle w:val="Footer"/>
      <w:jc w:val="right"/>
      <w:rPr>
        <w:sz w:val="18"/>
        <w:szCs w:val="18"/>
      </w:rPr>
    </w:pPr>
  </w:p>
  <w:p w14:paraId="3665FA48" w14:textId="11B4B67E" w:rsidR="00000A69" w:rsidRPr="00080615" w:rsidRDefault="009359E9" w:rsidP="009359E9">
    <w:pPr>
      <w:pStyle w:val="Footer"/>
      <w:pBdr>
        <w:top w:val="single" w:sz="4" w:space="1" w:color="auto"/>
      </w:pBdr>
      <w:jc w:val="both"/>
    </w:pPr>
    <w:r>
      <w:t>Practice Alert: Dysphagia, safe swallowing and mealtime management</w:t>
    </w:r>
    <w:r>
      <w:tab/>
      <w:t xml:space="preserve">Page </w:t>
    </w:r>
    <w:r>
      <w:fldChar w:fldCharType="begin"/>
    </w:r>
    <w:r>
      <w:instrText xml:space="preserve"> PAGE   \* MERGEFORMAT </w:instrText>
    </w:r>
    <w:r>
      <w:fldChar w:fldCharType="separate"/>
    </w:r>
    <w:r w:rsidR="0095748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00992" w14:textId="77777777" w:rsidR="00951325" w:rsidRDefault="00951325" w:rsidP="008E21DE">
      <w:r>
        <w:separator/>
      </w:r>
    </w:p>
  </w:footnote>
  <w:footnote w:type="continuationSeparator" w:id="0">
    <w:p w14:paraId="54C38485" w14:textId="77777777" w:rsidR="00951325" w:rsidRDefault="00951325"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AC48" w14:textId="505A318F" w:rsidR="00000A69" w:rsidRDefault="00000A69">
    <w:pPr>
      <w:pStyle w:val="Header"/>
    </w:pPr>
  </w:p>
  <w:p w14:paraId="43060073" w14:textId="77777777" w:rsidR="00000A69" w:rsidRDefault="00000A69">
    <w:pPr>
      <w:pStyle w:val="Header"/>
    </w:pPr>
    <w:r>
      <w:rPr>
        <w:b w:val="0"/>
        <w:bCs/>
        <w:noProof/>
        <w:lang w:eastAsia="zh-CN" w:bidi="hi-IN"/>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EC4AF3A">
            <v:rect id="Rectangle 2"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612c69" stroked="f" strokeweight="1pt" w14:anchorId="4308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FB056" w14:textId="4E1744BD" w:rsidR="00000A69" w:rsidRDefault="00000A69">
    <w:pPr>
      <w:pStyle w:val="Header"/>
    </w:pPr>
    <w:r>
      <w:rPr>
        <w:noProof/>
        <w:lang w:eastAsia="en-AU"/>
      </w:rPr>
      <w:ptab w:relativeTo="margin" w:alignment="left" w:leader="none"/>
    </w:r>
    <w:r>
      <w:rPr>
        <w:noProof/>
        <w:lang w:eastAsia="zh-CN" w:bidi="hi-IN"/>
      </w:rPr>
      <w:drawing>
        <wp:inline distT="0" distB="0" distL="0" distR="0" wp14:anchorId="480505B1" wp14:editId="03B821C9">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45AB3"/>
    <w:multiLevelType w:val="hybridMultilevel"/>
    <w:tmpl w:val="58D66736"/>
    <w:lvl w:ilvl="0" w:tplc="224642D0">
      <w:numFmt w:val="bullet"/>
      <w:lvlText w:val="•"/>
      <w:lvlJc w:val="left"/>
      <w:pPr>
        <w:ind w:left="720" w:hanging="360"/>
      </w:pPr>
      <w:rPr>
        <w:rFonts w:ascii="Calibri" w:eastAsia="Times New Roman"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51DF5"/>
    <w:multiLevelType w:val="hybridMultilevel"/>
    <w:tmpl w:val="0EDC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83C2A"/>
    <w:multiLevelType w:val="hybridMultilevel"/>
    <w:tmpl w:val="B6243944"/>
    <w:lvl w:ilvl="0" w:tplc="35FEC1EC">
      <w:start w:val="1"/>
      <w:numFmt w:val="bullet"/>
      <w:lvlText w:val=""/>
      <w:lvlJc w:val="left"/>
      <w:pPr>
        <w:ind w:left="720" w:hanging="360"/>
      </w:pPr>
      <w:rPr>
        <w:rFonts w:ascii="Symbol" w:hAnsi="Symbol" w:hint="default"/>
        <w:color w:val="962C8B" w:themeColor="accent2"/>
      </w:rPr>
    </w:lvl>
    <w:lvl w:ilvl="1" w:tplc="70805618">
      <w:start w:val="1"/>
      <w:numFmt w:val="bullet"/>
      <w:lvlText w:val="o"/>
      <w:lvlJc w:val="left"/>
      <w:pPr>
        <w:ind w:left="1440" w:hanging="360"/>
      </w:pPr>
      <w:rPr>
        <w:rFonts w:ascii="Courier New" w:hAnsi="Courier New" w:hint="default"/>
      </w:rPr>
    </w:lvl>
    <w:lvl w:ilvl="2" w:tplc="36724254">
      <w:start w:val="1"/>
      <w:numFmt w:val="bullet"/>
      <w:lvlText w:val=""/>
      <w:lvlJc w:val="left"/>
      <w:pPr>
        <w:ind w:left="2160" w:hanging="360"/>
      </w:pPr>
      <w:rPr>
        <w:rFonts w:ascii="Wingdings" w:hAnsi="Wingdings" w:hint="default"/>
      </w:rPr>
    </w:lvl>
    <w:lvl w:ilvl="3" w:tplc="F7786B34">
      <w:start w:val="1"/>
      <w:numFmt w:val="bullet"/>
      <w:lvlText w:val=""/>
      <w:lvlJc w:val="left"/>
      <w:pPr>
        <w:ind w:left="2880" w:hanging="360"/>
      </w:pPr>
      <w:rPr>
        <w:rFonts w:ascii="Symbol" w:hAnsi="Symbol" w:hint="default"/>
      </w:rPr>
    </w:lvl>
    <w:lvl w:ilvl="4" w:tplc="2C30A546">
      <w:start w:val="1"/>
      <w:numFmt w:val="bullet"/>
      <w:lvlText w:val="o"/>
      <w:lvlJc w:val="left"/>
      <w:pPr>
        <w:ind w:left="3600" w:hanging="360"/>
      </w:pPr>
      <w:rPr>
        <w:rFonts w:ascii="Courier New" w:hAnsi="Courier New" w:hint="default"/>
      </w:rPr>
    </w:lvl>
    <w:lvl w:ilvl="5" w:tplc="F16097DC">
      <w:start w:val="1"/>
      <w:numFmt w:val="bullet"/>
      <w:lvlText w:val=""/>
      <w:lvlJc w:val="left"/>
      <w:pPr>
        <w:ind w:left="4320" w:hanging="360"/>
      </w:pPr>
      <w:rPr>
        <w:rFonts w:ascii="Wingdings" w:hAnsi="Wingdings" w:hint="default"/>
      </w:rPr>
    </w:lvl>
    <w:lvl w:ilvl="6" w:tplc="75444554">
      <w:start w:val="1"/>
      <w:numFmt w:val="bullet"/>
      <w:lvlText w:val=""/>
      <w:lvlJc w:val="left"/>
      <w:pPr>
        <w:ind w:left="5040" w:hanging="360"/>
      </w:pPr>
      <w:rPr>
        <w:rFonts w:ascii="Symbol" w:hAnsi="Symbol" w:hint="default"/>
      </w:rPr>
    </w:lvl>
    <w:lvl w:ilvl="7" w:tplc="1E5ADD32">
      <w:start w:val="1"/>
      <w:numFmt w:val="bullet"/>
      <w:lvlText w:val="o"/>
      <w:lvlJc w:val="left"/>
      <w:pPr>
        <w:ind w:left="5760" w:hanging="360"/>
      </w:pPr>
      <w:rPr>
        <w:rFonts w:ascii="Courier New" w:hAnsi="Courier New" w:hint="default"/>
      </w:rPr>
    </w:lvl>
    <w:lvl w:ilvl="8" w:tplc="5B647D60">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833463"/>
    <w:multiLevelType w:val="hybridMultilevel"/>
    <w:tmpl w:val="076E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7A633F"/>
    <w:multiLevelType w:val="hybridMultilevel"/>
    <w:tmpl w:val="7D1649EC"/>
    <w:lvl w:ilvl="0" w:tplc="5D469E72">
      <w:start w:val="1"/>
      <w:numFmt w:val="bullet"/>
      <w:lvlText w:val=""/>
      <w:lvlJc w:val="left"/>
      <w:pPr>
        <w:ind w:left="360" w:hanging="360"/>
      </w:pPr>
      <w:rPr>
        <w:rFonts w:ascii="Symbol" w:hAnsi="Symbol" w:hint="default"/>
      </w:rPr>
    </w:lvl>
    <w:lvl w:ilvl="1" w:tplc="11DEB33A">
      <w:start w:val="1"/>
      <w:numFmt w:val="bullet"/>
      <w:lvlText w:val="o"/>
      <w:lvlJc w:val="left"/>
      <w:pPr>
        <w:ind w:left="1080" w:hanging="360"/>
      </w:pPr>
      <w:rPr>
        <w:rFonts w:ascii="Courier New" w:hAnsi="Courier New" w:hint="default"/>
      </w:rPr>
    </w:lvl>
    <w:lvl w:ilvl="2" w:tplc="638080E8">
      <w:start w:val="1"/>
      <w:numFmt w:val="bullet"/>
      <w:lvlText w:val=""/>
      <w:lvlJc w:val="left"/>
      <w:pPr>
        <w:ind w:left="1800" w:hanging="360"/>
      </w:pPr>
      <w:rPr>
        <w:rFonts w:ascii="Wingdings" w:hAnsi="Wingdings" w:hint="default"/>
      </w:rPr>
    </w:lvl>
    <w:lvl w:ilvl="3" w:tplc="E5DA7760">
      <w:start w:val="1"/>
      <w:numFmt w:val="bullet"/>
      <w:lvlText w:val=""/>
      <w:lvlJc w:val="left"/>
      <w:pPr>
        <w:ind w:left="2520" w:hanging="360"/>
      </w:pPr>
      <w:rPr>
        <w:rFonts w:ascii="Symbol" w:hAnsi="Symbol" w:hint="default"/>
      </w:rPr>
    </w:lvl>
    <w:lvl w:ilvl="4" w:tplc="1ABE4EAE">
      <w:start w:val="1"/>
      <w:numFmt w:val="bullet"/>
      <w:lvlText w:val="o"/>
      <w:lvlJc w:val="left"/>
      <w:pPr>
        <w:ind w:left="3240" w:hanging="360"/>
      </w:pPr>
      <w:rPr>
        <w:rFonts w:ascii="Courier New" w:hAnsi="Courier New" w:hint="default"/>
      </w:rPr>
    </w:lvl>
    <w:lvl w:ilvl="5" w:tplc="C764CE8E">
      <w:start w:val="1"/>
      <w:numFmt w:val="bullet"/>
      <w:lvlText w:val=""/>
      <w:lvlJc w:val="left"/>
      <w:pPr>
        <w:ind w:left="3960" w:hanging="360"/>
      </w:pPr>
      <w:rPr>
        <w:rFonts w:ascii="Wingdings" w:hAnsi="Wingdings" w:hint="default"/>
      </w:rPr>
    </w:lvl>
    <w:lvl w:ilvl="6" w:tplc="AE5A45D8">
      <w:start w:val="1"/>
      <w:numFmt w:val="bullet"/>
      <w:lvlText w:val=""/>
      <w:lvlJc w:val="left"/>
      <w:pPr>
        <w:ind w:left="4680" w:hanging="360"/>
      </w:pPr>
      <w:rPr>
        <w:rFonts w:ascii="Symbol" w:hAnsi="Symbol" w:hint="default"/>
      </w:rPr>
    </w:lvl>
    <w:lvl w:ilvl="7" w:tplc="E65041D4">
      <w:start w:val="1"/>
      <w:numFmt w:val="bullet"/>
      <w:lvlText w:val="o"/>
      <w:lvlJc w:val="left"/>
      <w:pPr>
        <w:ind w:left="5400" w:hanging="360"/>
      </w:pPr>
      <w:rPr>
        <w:rFonts w:ascii="Courier New" w:hAnsi="Courier New" w:hint="default"/>
      </w:rPr>
    </w:lvl>
    <w:lvl w:ilvl="8" w:tplc="C99E31F2">
      <w:start w:val="1"/>
      <w:numFmt w:val="bullet"/>
      <w:lvlText w:val=""/>
      <w:lvlJc w:val="left"/>
      <w:pPr>
        <w:ind w:left="6120" w:hanging="360"/>
      </w:pPr>
      <w:rPr>
        <w:rFonts w:ascii="Wingdings" w:hAnsi="Wingdings" w:hint="default"/>
      </w:rPr>
    </w:lvl>
  </w:abstractNum>
  <w:abstractNum w:abstractNumId="10" w15:restartNumberingAfterBreak="0">
    <w:nsid w:val="40675F44"/>
    <w:multiLevelType w:val="hybridMultilevel"/>
    <w:tmpl w:val="DB8E778C"/>
    <w:lvl w:ilvl="0" w:tplc="AD7CF890">
      <w:start w:val="1"/>
      <w:numFmt w:val="bullet"/>
      <w:lvlText w:val=""/>
      <w:lvlJc w:val="left"/>
      <w:pPr>
        <w:ind w:left="720" w:hanging="360"/>
      </w:pPr>
      <w:rPr>
        <w:rFonts w:ascii="Symbol" w:hAnsi="Symbol" w:hint="default"/>
      </w:rPr>
    </w:lvl>
    <w:lvl w:ilvl="1" w:tplc="6BD2C842">
      <w:start w:val="1"/>
      <w:numFmt w:val="bullet"/>
      <w:lvlText w:val="o"/>
      <w:lvlJc w:val="left"/>
      <w:pPr>
        <w:ind w:left="1440" w:hanging="360"/>
      </w:pPr>
      <w:rPr>
        <w:rFonts w:ascii="Courier New" w:hAnsi="Courier New" w:hint="default"/>
      </w:rPr>
    </w:lvl>
    <w:lvl w:ilvl="2" w:tplc="20B051A4">
      <w:start w:val="1"/>
      <w:numFmt w:val="bullet"/>
      <w:lvlText w:val=""/>
      <w:lvlJc w:val="left"/>
      <w:pPr>
        <w:ind w:left="2160" w:hanging="360"/>
      </w:pPr>
      <w:rPr>
        <w:rFonts w:ascii="Wingdings" w:hAnsi="Wingdings" w:hint="default"/>
      </w:rPr>
    </w:lvl>
    <w:lvl w:ilvl="3" w:tplc="88465BA8">
      <w:start w:val="1"/>
      <w:numFmt w:val="bullet"/>
      <w:lvlText w:val=""/>
      <w:lvlJc w:val="left"/>
      <w:pPr>
        <w:ind w:left="2880" w:hanging="360"/>
      </w:pPr>
      <w:rPr>
        <w:rFonts w:ascii="Symbol" w:hAnsi="Symbol" w:hint="default"/>
      </w:rPr>
    </w:lvl>
    <w:lvl w:ilvl="4" w:tplc="988011FC">
      <w:start w:val="1"/>
      <w:numFmt w:val="bullet"/>
      <w:lvlText w:val="o"/>
      <w:lvlJc w:val="left"/>
      <w:pPr>
        <w:ind w:left="3600" w:hanging="360"/>
      </w:pPr>
      <w:rPr>
        <w:rFonts w:ascii="Courier New" w:hAnsi="Courier New" w:hint="default"/>
      </w:rPr>
    </w:lvl>
    <w:lvl w:ilvl="5" w:tplc="7226B84C">
      <w:start w:val="1"/>
      <w:numFmt w:val="bullet"/>
      <w:lvlText w:val=""/>
      <w:lvlJc w:val="left"/>
      <w:pPr>
        <w:ind w:left="4320" w:hanging="360"/>
      </w:pPr>
      <w:rPr>
        <w:rFonts w:ascii="Wingdings" w:hAnsi="Wingdings" w:hint="default"/>
      </w:rPr>
    </w:lvl>
    <w:lvl w:ilvl="6" w:tplc="DE504E2A">
      <w:start w:val="1"/>
      <w:numFmt w:val="bullet"/>
      <w:lvlText w:val=""/>
      <w:lvlJc w:val="left"/>
      <w:pPr>
        <w:ind w:left="5040" w:hanging="360"/>
      </w:pPr>
      <w:rPr>
        <w:rFonts w:ascii="Symbol" w:hAnsi="Symbol" w:hint="default"/>
      </w:rPr>
    </w:lvl>
    <w:lvl w:ilvl="7" w:tplc="1458E27A">
      <w:start w:val="1"/>
      <w:numFmt w:val="bullet"/>
      <w:lvlText w:val="o"/>
      <w:lvlJc w:val="left"/>
      <w:pPr>
        <w:ind w:left="5760" w:hanging="360"/>
      </w:pPr>
      <w:rPr>
        <w:rFonts w:ascii="Courier New" w:hAnsi="Courier New" w:hint="default"/>
      </w:rPr>
    </w:lvl>
    <w:lvl w:ilvl="8" w:tplc="1CB6FABC">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615703"/>
    <w:multiLevelType w:val="multilevel"/>
    <w:tmpl w:val="803CF862"/>
    <w:numStyleLink w:val="List1Numbered"/>
  </w:abstractNum>
  <w:abstractNum w:abstractNumId="15" w15:restartNumberingAfterBreak="0">
    <w:nsid w:val="5C7C527D"/>
    <w:multiLevelType w:val="hybridMultilevel"/>
    <w:tmpl w:val="97507A60"/>
    <w:lvl w:ilvl="0" w:tplc="4AAADAAC">
      <w:start w:val="1"/>
      <w:numFmt w:val="bullet"/>
      <w:lvlText w:val=""/>
      <w:lvlJc w:val="left"/>
      <w:pPr>
        <w:ind w:left="720" w:hanging="360"/>
      </w:pPr>
      <w:rPr>
        <w:rFonts w:ascii="Symbol" w:hAnsi="Symbol" w:hint="default"/>
      </w:rPr>
    </w:lvl>
    <w:lvl w:ilvl="1" w:tplc="70805618">
      <w:start w:val="1"/>
      <w:numFmt w:val="bullet"/>
      <w:lvlText w:val="o"/>
      <w:lvlJc w:val="left"/>
      <w:pPr>
        <w:ind w:left="1440" w:hanging="360"/>
      </w:pPr>
      <w:rPr>
        <w:rFonts w:ascii="Courier New" w:hAnsi="Courier New" w:hint="default"/>
      </w:rPr>
    </w:lvl>
    <w:lvl w:ilvl="2" w:tplc="36724254">
      <w:start w:val="1"/>
      <w:numFmt w:val="bullet"/>
      <w:lvlText w:val=""/>
      <w:lvlJc w:val="left"/>
      <w:pPr>
        <w:ind w:left="2160" w:hanging="360"/>
      </w:pPr>
      <w:rPr>
        <w:rFonts w:ascii="Wingdings" w:hAnsi="Wingdings" w:hint="default"/>
      </w:rPr>
    </w:lvl>
    <w:lvl w:ilvl="3" w:tplc="F7786B34">
      <w:start w:val="1"/>
      <w:numFmt w:val="bullet"/>
      <w:lvlText w:val=""/>
      <w:lvlJc w:val="left"/>
      <w:pPr>
        <w:ind w:left="2880" w:hanging="360"/>
      </w:pPr>
      <w:rPr>
        <w:rFonts w:ascii="Symbol" w:hAnsi="Symbol" w:hint="default"/>
      </w:rPr>
    </w:lvl>
    <w:lvl w:ilvl="4" w:tplc="2C30A546">
      <w:start w:val="1"/>
      <w:numFmt w:val="bullet"/>
      <w:lvlText w:val="o"/>
      <w:lvlJc w:val="left"/>
      <w:pPr>
        <w:ind w:left="3600" w:hanging="360"/>
      </w:pPr>
      <w:rPr>
        <w:rFonts w:ascii="Courier New" w:hAnsi="Courier New" w:hint="default"/>
      </w:rPr>
    </w:lvl>
    <w:lvl w:ilvl="5" w:tplc="F16097DC">
      <w:start w:val="1"/>
      <w:numFmt w:val="bullet"/>
      <w:lvlText w:val=""/>
      <w:lvlJc w:val="left"/>
      <w:pPr>
        <w:ind w:left="4320" w:hanging="360"/>
      </w:pPr>
      <w:rPr>
        <w:rFonts w:ascii="Wingdings" w:hAnsi="Wingdings" w:hint="default"/>
      </w:rPr>
    </w:lvl>
    <w:lvl w:ilvl="6" w:tplc="75444554">
      <w:start w:val="1"/>
      <w:numFmt w:val="bullet"/>
      <w:lvlText w:val=""/>
      <w:lvlJc w:val="left"/>
      <w:pPr>
        <w:ind w:left="5040" w:hanging="360"/>
      </w:pPr>
      <w:rPr>
        <w:rFonts w:ascii="Symbol" w:hAnsi="Symbol" w:hint="default"/>
      </w:rPr>
    </w:lvl>
    <w:lvl w:ilvl="7" w:tplc="1E5ADD32">
      <w:start w:val="1"/>
      <w:numFmt w:val="bullet"/>
      <w:lvlText w:val="o"/>
      <w:lvlJc w:val="left"/>
      <w:pPr>
        <w:ind w:left="5760" w:hanging="360"/>
      </w:pPr>
      <w:rPr>
        <w:rFonts w:ascii="Courier New" w:hAnsi="Courier New" w:hint="default"/>
      </w:rPr>
    </w:lvl>
    <w:lvl w:ilvl="8" w:tplc="5B647D60">
      <w:start w:val="1"/>
      <w:numFmt w:val="bullet"/>
      <w:lvlText w:val=""/>
      <w:lvlJc w:val="left"/>
      <w:pPr>
        <w:ind w:left="6480" w:hanging="360"/>
      </w:pPr>
      <w:rPr>
        <w:rFonts w:ascii="Wingdings" w:hAnsi="Wingdings" w:hint="default"/>
      </w:rPr>
    </w:lvl>
  </w:abstractNum>
  <w:abstractNum w:abstractNumId="16" w15:restartNumberingAfterBreak="0">
    <w:nsid w:val="671F69AA"/>
    <w:multiLevelType w:val="hybridMultilevel"/>
    <w:tmpl w:val="F2CC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4F423B"/>
    <w:multiLevelType w:val="multilevel"/>
    <w:tmpl w:val="4A7CCC2C"/>
    <w:numStyleLink w:val="DefaultBullets"/>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7303629"/>
    <w:multiLevelType w:val="hybridMultilevel"/>
    <w:tmpl w:val="02E433C8"/>
    <w:lvl w:ilvl="0" w:tplc="C5BC657E">
      <w:start w:val="1"/>
      <w:numFmt w:val="bullet"/>
      <w:lvlText w:val=""/>
      <w:lvlJc w:val="left"/>
      <w:pPr>
        <w:ind w:left="720" w:hanging="360"/>
      </w:pPr>
      <w:rPr>
        <w:rFonts w:ascii="Symbol" w:hAnsi="Symbol" w:hint="default"/>
      </w:rPr>
    </w:lvl>
    <w:lvl w:ilvl="1" w:tplc="23748EAE">
      <w:start w:val="1"/>
      <w:numFmt w:val="bullet"/>
      <w:lvlText w:val="o"/>
      <w:lvlJc w:val="left"/>
      <w:pPr>
        <w:ind w:left="1440" w:hanging="360"/>
      </w:pPr>
      <w:rPr>
        <w:rFonts w:ascii="Courier New" w:hAnsi="Courier New" w:hint="default"/>
      </w:rPr>
    </w:lvl>
    <w:lvl w:ilvl="2" w:tplc="3550B514">
      <w:start w:val="1"/>
      <w:numFmt w:val="bullet"/>
      <w:lvlText w:val=""/>
      <w:lvlJc w:val="left"/>
      <w:pPr>
        <w:ind w:left="2160" w:hanging="360"/>
      </w:pPr>
      <w:rPr>
        <w:rFonts w:ascii="Wingdings" w:hAnsi="Wingdings" w:hint="default"/>
      </w:rPr>
    </w:lvl>
    <w:lvl w:ilvl="3" w:tplc="57E0B8B8">
      <w:start w:val="1"/>
      <w:numFmt w:val="bullet"/>
      <w:lvlText w:val=""/>
      <w:lvlJc w:val="left"/>
      <w:pPr>
        <w:ind w:left="2880" w:hanging="360"/>
      </w:pPr>
      <w:rPr>
        <w:rFonts w:ascii="Symbol" w:hAnsi="Symbol" w:hint="default"/>
      </w:rPr>
    </w:lvl>
    <w:lvl w:ilvl="4" w:tplc="F92EE564">
      <w:start w:val="1"/>
      <w:numFmt w:val="bullet"/>
      <w:lvlText w:val="o"/>
      <w:lvlJc w:val="left"/>
      <w:pPr>
        <w:ind w:left="3600" w:hanging="360"/>
      </w:pPr>
      <w:rPr>
        <w:rFonts w:ascii="Courier New" w:hAnsi="Courier New" w:hint="default"/>
      </w:rPr>
    </w:lvl>
    <w:lvl w:ilvl="5" w:tplc="E3A85AB2">
      <w:start w:val="1"/>
      <w:numFmt w:val="bullet"/>
      <w:lvlText w:val=""/>
      <w:lvlJc w:val="left"/>
      <w:pPr>
        <w:ind w:left="4320" w:hanging="360"/>
      </w:pPr>
      <w:rPr>
        <w:rFonts w:ascii="Wingdings" w:hAnsi="Wingdings" w:hint="default"/>
      </w:rPr>
    </w:lvl>
    <w:lvl w:ilvl="6" w:tplc="DE669684">
      <w:start w:val="1"/>
      <w:numFmt w:val="bullet"/>
      <w:lvlText w:val=""/>
      <w:lvlJc w:val="left"/>
      <w:pPr>
        <w:ind w:left="5040" w:hanging="360"/>
      </w:pPr>
      <w:rPr>
        <w:rFonts w:ascii="Symbol" w:hAnsi="Symbol" w:hint="default"/>
      </w:rPr>
    </w:lvl>
    <w:lvl w:ilvl="7" w:tplc="F37C7A74">
      <w:start w:val="1"/>
      <w:numFmt w:val="bullet"/>
      <w:lvlText w:val="o"/>
      <w:lvlJc w:val="left"/>
      <w:pPr>
        <w:ind w:left="5760" w:hanging="360"/>
      </w:pPr>
      <w:rPr>
        <w:rFonts w:ascii="Courier New" w:hAnsi="Courier New" w:hint="default"/>
      </w:rPr>
    </w:lvl>
    <w:lvl w:ilvl="8" w:tplc="5B7AAE3A">
      <w:start w:val="1"/>
      <w:numFmt w:val="bullet"/>
      <w:lvlText w:val=""/>
      <w:lvlJc w:val="left"/>
      <w:pPr>
        <w:ind w:left="6480" w:hanging="360"/>
      </w:pPr>
      <w:rPr>
        <w:rFonts w:ascii="Wingdings" w:hAnsi="Wingdings" w:hint="default"/>
      </w:rPr>
    </w:lvl>
  </w:abstractNum>
  <w:abstractNum w:abstractNumId="20" w15:restartNumberingAfterBreak="0">
    <w:nsid w:val="790B67C4"/>
    <w:multiLevelType w:val="multilevel"/>
    <w:tmpl w:val="FE688822"/>
    <w:numStyleLink w:val="BoxedBullets"/>
  </w:abstractNum>
  <w:abstractNum w:abstractNumId="21" w15:restartNumberingAfterBreak="0">
    <w:nsid w:val="7DC5402A"/>
    <w:multiLevelType w:val="hybridMultilevel"/>
    <w:tmpl w:val="807E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0"/>
  </w:num>
  <w:num w:numId="4">
    <w:abstractNumId w:val="11"/>
  </w:num>
  <w:num w:numId="5">
    <w:abstractNumId w:val="6"/>
  </w:num>
  <w:num w:numId="6">
    <w:abstractNumId w:val="5"/>
  </w:num>
  <w:num w:numId="7">
    <w:abstractNumId w:val="14"/>
  </w:num>
  <w:num w:numId="8">
    <w:abstractNumId w:val="13"/>
  </w:num>
  <w:num w:numId="9">
    <w:abstractNumId w:val="7"/>
  </w:num>
  <w:num w:numId="10">
    <w:abstractNumId w:val="18"/>
  </w:num>
  <w:num w:numId="11">
    <w:abstractNumId w:val="1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9"/>
  </w:num>
  <w:num w:numId="13">
    <w:abstractNumId w:val="19"/>
  </w:num>
  <w:num w:numId="14">
    <w:abstractNumId w:val="10"/>
  </w:num>
  <w:num w:numId="15">
    <w:abstractNumId w:val="15"/>
  </w:num>
  <w:num w:numId="16">
    <w:abstractNumId w:val="8"/>
  </w:num>
  <w:num w:numId="17">
    <w:abstractNumId w:val="0"/>
  </w:num>
  <w:num w:numId="18">
    <w:abstractNumId w:val="21"/>
  </w:num>
  <w:num w:numId="19">
    <w:abstractNumId w:val="1"/>
  </w:num>
  <w:num w:numId="20">
    <w:abstractNumId w:val="16"/>
  </w:num>
  <w:num w:numId="21">
    <w:abstractNumId w:val="1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2">
    <w:abstractNumId w:val="3"/>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8E"/>
    <w:rsid w:val="00000034"/>
    <w:rsid w:val="00000A69"/>
    <w:rsid w:val="00043D08"/>
    <w:rsid w:val="00056D72"/>
    <w:rsid w:val="00060B5C"/>
    <w:rsid w:val="0006366C"/>
    <w:rsid w:val="000721DF"/>
    <w:rsid w:val="00073162"/>
    <w:rsid w:val="00080615"/>
    <w:rsid w:val="000838A9"/>
    <w:rsid w:val="000974C9"/>
    <w:rsid w:val="000C1BBC"/>
    <w:rsid w:val="000C252F"/>
    <w:rsid w:val="000C5959"/>
    <w:rsid w:val="000C7CE9"/>
    <w:rsid w:val="000D7AA7"/>
    <w:rsid w:val="000E48A1"/>
    <w:rsid w:val="000F3A54"/>
    <w:rsid w:val="000F48FC"/>
    <w:rsid w:val="0010008B"/>
    <w:rsid w:val="001058AC"/>
    <w:rsid w:val="00117E87"/>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50DAB"/>
    <w:rsid w:val="0027344B"/>
    <w:rsid w:val="002804D3"/>
    <w:rsid w:val="00282E8A"/>
    <w:rsid w:val="00284D1A"/>
    <w:rsid w:val="00293890"/>
    <w:rsid w:val="002A0072"/>
    <w:rsid w:val="002D0FE6"/>
    <w:rsid w:val="002D695D"/>
    <w:rsid w:val="002E6D0E"/>
    <w:rsid w:val="0030095B"/>
    <w:rsid w:val="00316DB6"/>
    <w:rsid w:val="003449A0"/>
    <w:rsid w:val="00344BB0"/>
    <w:rsid w:val="0034598E"/>
    <w:rsid w:val="00362AB6"/>
    <w:rsid w:val="00395DDA"/>
    <w:rsid w:val="003972B2"/>
    <w:rsid w:val="003A6ECC"/>
    <w:rsid w:val="003A764C"/>
    <w:rsid w:val="003C49B9"/>
    <w:rsid w:val="003C7D51"/>
    <w:rsid w:val="003D3533"/>
    <w:rsid w:val="003E70D2"/>
    <w:rsid w:val="003F29B8"/>
    <w:rsid w:val="00407E61"/>
    <w:rsid w:val="004154E2"/>
    <w:rsid w:val="00425001"/>
    <w:rsid w:val="00427EF6"/>
    <w:rsid w:val="00477A13"/>
    <w:rsid w:val="00493DCF"/>
    <w:rsid w:val="0049413C"/>
    <w:rsid w:val="004B2FB5"/>
    <w:rsid w:val="004D4273"/>
    <w:rsid w:val="004D460E"/>
    <w:rsid w:val="004E6EFB"/>
    <w:rsid w:val="004F2C6E"/>
    <w:rsid w:val="004F696B"/>
    <w:rsid w:val="0050020D"/>
    <w:rsid w:val="00521E9C"/>
    <w:rsid w:val="00526DBC"/>
    <w:rsid w:val="00534D53"/>
    <w:rsid w:val="00575F25"/>
    <w:rsid w:val="00593C19"/>
    <w:rsid w:val="005B053D"/>
    <w:rsid w:val="005D05FF"/>
    <w:rsid w:val="00606B46"/>
    <w:rsid w:val="00625854"/>
    <w:rsid w:val="00641512"/>
    <w:rsid w:val="00651348"/>
    <w:rsid w:val="00672C9E"/>
    <w:rsid w:val="00673DBD"/>
    <w:rsid w:val="00680A20"/>
    <w:rsid w:val="00680F04"/>
    <w:rsid w:val="00693FBE"/>
    <w:rsid w:val="006B2C44"/>
    <w:rsid w:val="006D6D91"/>
    <w:rsid w:val="00715CAE"/>
    <w:rsid w:val="007168C0"/>
    <w:rsid w:val="007270EB"/>
    <w:rsid w:val="00732399"/>
    <w:rsid w:val="0073767E"/>
    <w:rsid w:val="00741BE9"/>
    <w:rsid w:val="00754943"/>
    <w:rsid w:val="00764424"/>
    <w:rsid w:val="00765384"/>
    <w:rsid w:val="00765AAF"/>
    <w:rsid w:val="0078103B"/>
    <w:rsid w:val="00790399"/>
    <w:rsid w:val="00796561"/>
    <w:rsid w:val="007A5887"/>
    <w:rsid w:val="007B0A73"/>
    <w:rsid w:val="007B2CF5"/>
    <w:rsid w:val="007E4399"/>
    <w:rsid w:val="00844FD8"/>
    <w:rsid w:val="008459B6"/>
    <w:rsid w:val="00846230"/>
    <w:rsid w:val="00846D1B"/>
    <w:rsid w:val="00880F00"/>
    <w:rsid w:val="00884FB3"/>
    <w:rsid w:val="00895DF7"/>
    <w:rsid w:val="008A1D61"/>
    <w:rsid w:val="008A649A"/>
    <w:rsid w:val="008B7938"/>
    <w:rsid w:val="008D1526"/>
    <w:rsid w:val="008D50DA"/>
    <w:rsid w:val="008E21DE"/>
    <w:rsid w:val="008E50AF"/>
    <w:rsid w:val="008F33AB"/>
    <w:rsid w:val="00901A4B"/>
    <w:rsid w:val="0090679C"/>
    <w:rsid w:val="0092679E"/>
    <w:rsid w:val="009359E9"/>
    <w:rsid w:val="00946AF7"/>
    <w:rsid w:val="00951325"/>
    <w:rsid w:val="009539C8"/>
    <w:rsid w:val="00953B8A"/>
    <w:rsid w:val="00957487"/>
    <w:rsid w:val="00967F8B"/>
    <w:rsid w:val="009754FE"/>
    <w:rsid w:val="00994643"/>
    <w:rsid w:val="009B12C8"/>
    <w:rsid w:val="009D06E2"/>
    <w:rsid w:val="009D621F"/>
    <w:rsid w:val="009E5FA8"/>
    <w:rsid w:val="009F4EAA"/>
    <w:rsid w:val="009F740C"/>
    <w:rsid w:val="00A06F5D"/>
    <w:rsid w:val="00A07E4A"/>
    <w:rsid w:val="00A37D9C"/>
    <w:rsid w:val="00A40E7F"/>
    <w:rsid w:val="00A60009"/>
    <w:rsid w:val="00A612E3"/>
    <w:rsid w:val="00A670D3"/>
    <w:rsid w:val="00A755CA"/>
    <w:rsid w:val="00A860DA"/>
    <w:rsid w:val="00A8647C"/>
    <w:rsid w:val="00A932F1"/>
    <w:rsid w:val="00A93AE1"/>
    <w:rsid w:val="00AA094B"/>
    <w:rsid w:val="00AA2EAB"/>
    <w:rsid w:val="00AA6D53"/>
    <w:rsid w:val="00AB12D5"/>
    <w:rsid w:val="00AC08C8"/>
    <w:rsid w:val="00AD0168"/>
    <w:rsid w:val="00AD336C"/>
    <w:rsid w:val="00AD735D"/>
    <w:rsid w:val="00AD7AD7"/>
    <w:rsid w:val="00AE52DE"/>
    <w:rsid w:val="00AF0899"/>
    <w:rsid w:val="00B00348"/>
    <w:rsid w:val="00B21DCB"/>
    <w:rsid w:val="00B25115"/>
    <w:rsid w:val="00B353FA"/>
    <w:rsid w:val="00B42593"/>
    <w:rsid w:val="00B542B3"/>
    <w:rsid w:val="00B603C0"/>
    <w:rsid w:val="00B83AB4"/>
    <w:rsid w:val="00BA4FF9"/>
    <w:rsid w:val="00BB2967"/>
    <w:rsid w:val="00BB2FD0"/>
    <w:rsid w:val="00BB6F8E"/>
    <w:rsid w:val="00BC2180"/>
    <w:rsid w:val="00BC3BA1"/>
    <w:rsid w:val="00BC6F8A"/>
    <w:rsid w:val="00BD0889"/>
    <w:rsid w:val="00BE1DEF"/>
    <w:rsid w:val="00BE7F1E"/>
    <w:rsid w:val="00BF2169"/>
    <w:rsid w:val="00BF463B"/>
    <w:rsid w:val="00C0421C"/>
    <w:rsid w:val="00C0732B"/>
    <w:rsid w:val="00C10202"/>
    <w:rsid w:val="00C1305C"/>
    <w:rsid w:val="00C17A5F"/>
    <w:rsid w:val="00C21944"/>
    <w:rsid w:val="00C242C7"/>
    <w:rsid w:val="00C2698C"/>
    <w:rsid w:val="00C31B8D"/>
    <w:rsid w:val="00C31EAE"/>
    <w:rsid w:val="00C35CF9"/>
    <w:rsid w:val="00C52C59"/>
    <w:rsid w:val="00C710F9"/>
    <w:rsid w:val="00C73ACC"/>
    <w:rsid w:val="00C87F13"/>
    <w:rsid w:val="00C90DF2"/>
    <w:rsid w:val="00C94D68"/>
    <w:rsid w:val="00CB64BD"/>
    <w:rsid w:val="00CB6D03"/>
    <w:rsid w:val="00CD54D0"/>
    <w:rsid w:val="00D04675"/>
    <w:rsid w:val="00D05C96"/>
    <w:rsid w:val="00D21508"/>
    <w:rsid w:val="00D23537"/>
    <w:rsid w:val="00D240C2"/>
    <w:rsid w:val="00D25236"/>
    <w:rsid w:val="00D27D66"/>
    <w:rsid w:val="00D9727A"/>
    <w:rsid w:val="00DE418A"/>
    <w:rsid w:val="00DF74BA"/>
    <w:rsid w:val="00E01D48"/>
    <w:rsid w:val="00E0370F"/>
    <w:rsid w:val="00E06DAA"/>
    <w:rsid w:val="00E14A3C"/>
    <w:rsid w:val="00E17651"/>
    <w:rsid w:val="00E243C4"/>
    <w:rsid w:val="00E260AC"/>
    <w:rsid w:val="00E40290"/>
    <w:rsid w:val="00E7734F"/>
    <w:rsid w:val="00E829A6"/>
    <w:rsid w:val="00E8311A"/>
    <w:rsid w:val="00ED765A"/>
    <w:rsid w:val="00EE737C"/>
    <w:rsid w:val="00F3209F"/>
    <w:rsid w:val="00F328ED"/>
    <w:rsid w:val="00F34A15"/>
    <w:rsid w:val="00F36173"/>
    <w:rsid w:val="00F41613"/>
    <w:rsid w:val="00F4684A"/>
    <w:rsid w:val="00F5000F"/>
    <w:rsid w:val="00F50728"/>
    <w:rsid w:val="00F50DD3"/>
    <w:rsid w:val="00F70AE7"/>
    <w:rsid w:val="00F9318C"/>
    <w:rsid w:val="00FA24BD"/>
    <w:rsid w:val="00FA3160"/>
    <w:rsid w:val="00FB3FE3"/>
    <w:rsid w:val="00FB5DBE"/>
    <w:rsid w:val="00FB77A7"/>
    <w:rsid w:val="00FD66D7"/>
    <w:rsid w:val="00FE2D8F"/>
    <w:rsid w:val="00FE3CB2"/>
    <w:rsid w:val="00FE3DA3"/>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5EC5B2"/>
  <w15:chartTrackingRefBased/>
  <w15:docId w15:val="{B923807D-E696-4924-B094-03C0DD4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F8E"/>
    <w:pPr>
      <w:spacing w:before="0" w:after="0"/>
    </w:pPr>
    <w:rPr>
      <w:rFonts w:ascii="Calibri" w:hAnsi="Calibri" w:cs="Calibri"/>
      <w:color w:val="auto"/>
      <w:sz w:val="22"/>
      <w:szCs w:val="22"/>
    </w:rPr>
  </w:style>
  <w:style w:type="paragraph" w:styleId="Heading1">
    <w:name w:val="heading 1"/>
    <w:basedOn w:val="Normal"/>
    <w:next w:val="Normal"/>
    <w:link w:val="Heading1Char"/>
    <w:uiPriority w:val="9"/>
    <w:qFormat/>
    <w:rsid w:val="00C0732B"/>
    <w:pPr>
      <w:keepNext/>
      <w:keepLines/>
      <w:spacing w:before="240" w:after="12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06366C"/>
    <w:pPr>
      <w:keepNext/>
      <w:keepLines/>
      <w:spacing w:before="120" w:after="12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284D1A"/>
    <w:pPr>
      <w:keepNext/>
      <w:keepLines/>
      <w:spacing w:before="240" w:after="12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6366C"/>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0732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284D1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before="120"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22"/>
      </w:numPr>
      <w:pBdr>
        <w:top w:val="single" w:sz="8" w:space="10" w:color="FBF7FD"/>
        <w:left w:val="single" w:sz="8" w:space="10" w:color="FBF7FD"/>
        <w:bottom w:val="single" w:sz="8" w:space="10" w:color="FBF7FD"/>
        <w:right w:val="single" w:sz="8" w:space="10" w:color="FBF7FD"/>
      </w:pBdr>
      <w:shd w:val="clear" w:color="auto" w:fill="F7F0FA"/>
      <w:spacing w:before="120"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pPr>
      <w:spacing w:after="120"/>
    </w:pPr>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discommission.gov.au/document/1026" TargetMode="External"/><Relationship Id="rId18" Type="http://schemas.openxmlformats.org/officeDocument/2006/relationships/hyperlink" Target="https://www.rcslt.org/members/clinical-guidance/dysphagia/dysphagia-guidan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ntactcentre@ndiscommission.gov.au" TargetMode="External"/><Relationship Id="rId7" Type="http://schemas.openxmlformats.org/officeDocument/2006/relationships/endnotes" Target="endnotes.xml"/><Relationship Id="rId12" Type="http://schemas.openxmlformats.org/officeDocument/2006/relationships/hyperlink" Target="http://www.nice.org.uk/guidance/cg32/chapter/1-Guidance" TargetMode="External"/><Relationship Id="rId17" Type="http://schemas.openxmlformats.org/officeDocument/2006/relationships/hyperlink" Target="https://www.rcslt.org/speech-and-language-therapy/clinical-information/dysphagi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discommission.gov.au/document/1881" TargetMode="External"/><Relationship Id="rId20" Type="http://schemas.openxmlformats.org/officeDocument/2006/relationships/hyperlink" Target="https://icd.who.int/browse11/l-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irect.gov.au/dysphag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peechpathologyaustralia.org.au/SPAweb/Resources_for_the_Public/Fact_Sheets/SPAweb/Resources_for_the_Public/Fact_Sheets/Fact_Sheets.aspx?hkey=e0ad33fb-f640-45b1-8a06-11ed2b73f29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ndiscommission.gov.au/resources" TargetMode="External"/><Relationship Id="rId19" Type="http://schemas.openxmlformats.org/officeDocument/2006/relationships/hyperlink" Target="https://www.who.int/publications/i/item/medication-safety-in-transitions-of-care-technical-report" TargetMode="External"/><Relationship Id="rId4" Type="http://schemas.openxmlformats.org/officeDocument/2006/relationships/settings" Target="settings.xml"/><Relationship Id="rId9" Type="http://schemas.openxmlformats.org/officeDocument/2006/relationships/hyperlink" Target="https://www.ndiscommission.gov.au/document/986" TargetMode="External"/><Relationship Id="rId14" Type="http://schemas.openxmlformats.org/officeDocument/2006/relationships/hyperlink" Target="https://speechpathologyaustralia.org.au/SPAweb/Members/Clinical_Guidelines/spaweb/Members/Clinical_Guidelines/Clinical_Guidelines.aspx?hkey=f66634e4-825a-4f1a-910d-644553f59140" TargetMode="External"/><Relationship Id="rId22" Type="http://schemas.openxmlformats.org/officeDocument/2006/relationships/hyperlink" Target="https://www.ndiscommission.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0025-A94E-4F08-9712-CF6C5D57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Practice Alert: Dysphagia, safe swallowing and mealtime management</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Dysphagia, safe swallowing and mealtime management</dc:title>
  <dc:subject/>
  <dc:creator>NDIS Quality and Safeguards Commission</dc:creator>
  <cp:keywords/>
  <dc:description/>
  <cp:lastModifiedBy>belinda toohey</cp:lastModifiedBy>
  <cp:revision>2</cp:revision>
  <cp:lastPrinted>2020-06-19T06:33:00Z</cp:lastPrinted>
  <dcterms:created xsi:type="dcterms:W3CDTF">2021-02-16T04:35:00Z</dcterms:created>
  <dcterms:modified xsi:type="dcterms:W3CDTF">2021-02-16T04:35:00Z</dcterms:modified>
</cp:coreProperties>
</file>